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95" w:rsidRDefault="009D7E95">
      <w:bookmarkStart w:id="0" w:name="_GoBack"/>
      <w:bookmarkEnd w:id="0"/>
    </w:p>
    <w:p w:rsidR="00EE1F77" w:rsidRPr="005A422F" w:rsidRDefault="003F2260">
      <w:pPr>
        <w:rPr>
          <w:b/>
          <w:sz w:val="24"/>
          <w:szCs w:val="24"/>
        </w:rPr>
      </w:pPr>
      <w:r w:rsidRPr="005A422F">
        <w:rPr>
          <w:b/>
          <w:sz w:val="24"/>
          <w:szCs w:val="24"/>
        </w:rPr>
        <w:t>Vietnam Tuna Fisheries Improvement Plan (FIP) Roadmap</w:t>
      </w:r>
    </w:p>
    <w:p w:rsidR="004662F8" w:rsidRPr="00EE1F77" w:rsidRDefault="004662F8">
      <w:pPr>
        <w:rPr>
          <w:b/>
        </w:rPr>
      </w:pPr>
    </w:p>
    <w:p w:rsidR="003F2260" w:rsidRPr="00EE1F77" w:rsidRDefault="003F2260" w:rsidP="003F2260">
      <w:pPr>
        <w:pStyle w:val="ListParagraph"/>
        <w:numPr>
          <w:ilvl w:val="0"/>
          <w:numId w:val="2"/>
        </w:numPr>
        <w:rPr>
          <w:b/>
        </w:rPr>
      </w:pPr>
      <w:r w:rsidRPr="00EE1F77">
        <w:rPr>
          <w:b/>
        </w:rPr>
        <w:t>General</w:t>
      </w:r>
    </w:p>
    <w:p w:rsidR="003F2260" w:rsidRDefault="003F2260" w:rsidP="00EE1F77">
      <w:r>
        <w:t>On September 12</w:t>
      </w:r>
      <w:r w:rsidRPr="003F2260">
        <w:rPr>
          <w:vertAlign w:val="superscript"/>
        </w:rPr>
        <w:t>th</w:t>
      </w:r>
      <w:r>
        <w:t xml:space="preserve"> 2012 r</w:t>
      </w:r>
      <w:r w:rsidRPr="003F2260">
        <w:t>epresentatives of the Vietnam Department of Capture Fisheries and Resource Development (DECAFREP), WWF Vietnam, WWF Coral Triangle Network Initiative, MSC, the Vietnam Association of Seafood Exporters and Producers</w:t>
      </w:r>
      <w:r>
        <w:t xml:space="preserve"> (VASEP)</w:t>
      </w:r>
      <w:r w:rsidRPr="003F2260">
        <w:t>, the Vietnam Tuna Association</w:t>
      </w:r>
      <w:r>
        <w:t xml:space="preserve"> (Vinatuna)</w:t>
      </w:r>
      <w:r w:rsidRPr="003F2260">
        <w:t>, processors, fishermen, US and EU tuna importers and ot</w:t>
      </w:r>
      <w:r>
        <w:t xml:space="preserve">her stakeholders gathered in Nha Trang </w:t>
      </w:r>
      <w:r w:rsidRPr="003F2260">
        <w:t xml:space="preserve">to discuss entering the Vietnam longline and handline tuna fishery into the process for MSC sustainability certification through a </w:t>
      </w:r>
      <w:r>
        <w:t xml:space="preserve">Fisheries Improvement Project. </w:t>
      </w:r>
    </w:p>
    <w:p w:rsidR="003F2260" w:rsidRDefault="003F2260" w:rsidP="00EE1F77">
      <w:r>
        <w:t>Following a series of presentations on the current status and knowledge of Vietnam’s tuna fisheries and preliminary review of the tuna fishery documenting key shortcomings against MSC principles, a consensus position from meeting participants was obtain that:</w:t>
      </w:r>
    </w:p>
    <w:p w:rsidR="003F2260" w:rsidRDefault="003F2260" w:rsidP="003F2260">
      <w:pPr>
        <w:pStyle w:val="ListParagraph"/>
        <w:numPr>
          <w:ilvl w:val="0"/>
          <w:numId w:val="3"/>
        </w:numPr>
      </w:pPr>
      <w:r>
        <w:t xml:space="preserve">Confirmed unanimous </w:t>
      </w:r>
      <w:r w:rsidR="00EE1F77">
        <w:t xml:space="preserve">support and </w:t>
      </w:r>
      <w:r>
        <w:t>interest for implementing a Fishery Improvement Project for tuna;</w:t>
      </w:r>
    </w:p>
    <w:p w:rsidR="00EE1F77" w:rsidRDefault="00EE1F77" w:rsidP="00EE1F77">
      <w:pPr>
        <w:pStyle w:val="ListParagraph"/>
        <w:numPr>
          <w:ilvl w:val="0"/>
          <w:numId w:val="3"/>
        </w:numPr>
      </w:pPr>
      <w:r>
        <w:t xml:space="preserve">Identified (through a quick vote) </w:t>
      </w:r>
      <w:r w:rsidR="003F2260">
        <w:t xml:space="preserve">WWF </w:t>
      </w:r>
      <w:r>
        <w:t>to coordinate next steps including</w:t>
      </w:r>
      <w:r w:rsidR="003F2260">
        <w:t xml:space="preserve"> the development of a roadmap </w:t>
      </w:r>
      <w:r>
        <w:t>for going forward;</w:t>
      </w:r>
    </w:p>
    <w:p w:rsidR="00EE1F77" w:rsidRDefault="00EE1F77" w:rsidP="00EE1F77">
      <w:pPr>
        <w:pStyle w:val="ListParagraph"/>
        <w:numPr>
          <w:ilvl w:val="0"/>
          <w:numId w:val="3"/>
        </w:numPr>
      </w:pPr>
      <w:r>
        <w:t>Recognized that more consultations and information sharing was required ahead of moving into the early stages of a formal FIP, including identification of the proposed Unit of Certification and client group(s)</w:t>
      </w:r>
    </w:p>
    <w:p w:rsidR="003F2260" w:rsidRDefault="00EE1F77" w:rsidP="00EE1F77">
      <w:r>
        <w:t xml:space="preserve">To that end, this preliminary roadmap aims to identify key steps and requirements </w:t>
      </w:r>
      <w:r w:rsidR="003F2260">
        <w:t xml:space="preserve">up to the pre-assessment process as well as </w:t>
      </w:r>
      <w:r>
        <w:t xml:space="preserve">looking forward to the </w:t>
      </w:r>
      <w:r w:rsidR="003F2260">
        <w:t xml:space="preserve">immediate steps to implement the </w:t>
      </w:r>
      <w:r>
        <w:t xml:space="preserve">FIP beyond the pre-assessment (i.e. </w:t>
      </w:r>
      <w:r w:rsidR="003F2260">
        <w:t xml:space="preserve">Action </w:t>
      </w:r>
      <w:r>
        <w:t xml:space="preserve">Plan </w:t>
      </w:r>
      <w:r w:rsidR="003F2260">
        <w:t>based on the pre-assessment results</w:t>
      </w:r>
      <w:r>
        <w:t>)</w:t>
      </w:r>
      <w:r w:rsidR="003F2260">
        <w:t>.</w:t>
      </w:r>
    </w:p>
    <w:p w:rsidR="003F2260" w:rsidRDefault="00EE1F77" w:rsidP="0076474B">
      <w:r>
        <w:t>Since the time of the meeting, WWF has initiated some direct consultations with other key stakeholders, including government line agencies, NGOs and private sector representatives, in order to ensure full participation of all interest groups and to pinpoint further the key issues that would need to be brought to all participants for feedback ahead of the pre-assessment.</w:t>
      </w:r>
    </w:p>
    <w:p w:rsidR="003F2260" w:rsidRPr="00EE1F77" w:rsidRDefault="00EE1F77" w:rsidP="003F2260">
      <w:pPr>
        <w:pStyle w:val="ListParagraph"/>
        <w:numPr>
          <w:ilvl w:val="0"/>
          <w:numId w:val="2"/>
        </w:numPr>
        <w:rPr>
          <w:b/>
        </w:rPr>
      </w:pPr>
      <w:r w:rsidRPr="00EE1F77">
        <w:rPr>
          <w:b/>
        </w:rPr>
        <w:t>Roadmap:</w:t>
      </w:r>
      <w:r w:rsidR="0076474B">
        <w:rPr>
          <w:b/>
        </w:rPr>
        <w:t xml:space="preserve"> primer on a FIP process</w:t>
      </w:r>
    </w:p>
    <w:p w:rsidR="00A54A96" w:rsidRDefault="00A54A96" w:rsidP="00A54A96">
      <w:r>
        <w:t>The FIP process outlined below is presented based largely on the multi-step FIP process described in the 2011 report “</w:t>
      </w:r>
      <w:r w:rsidRPr="00A54A96">
        <w:t>Transition to management best practice in Asian fisheries: Fisheries Improvement Planning Process (FIPP), a methodology for improved fisheries management and the development of Fisheries Management Plans (FMPs)</w:t>
      </w:r>
      <w:r>
        <w:t>” written by Richard Banks and Graeme Macfayden and Poseidon Aquatic Resource Management Ltd.</w:t>
      </w:r>
    </w:p>
    <w:p w:rsidR="00A54A96" w:rsidRDefault="00A54A96" w:rsidP="00A54A96"/>
    <w:p w:rsidR="00A54A96" w:rsidRDefault="00A54A96" w:rsidP="00A54A96">
      <w:r>
        <w:lastRenderedPageBreak/>
        <w:t xml:space="preserve">Fisheries Improvement Plans (FIPs) have arisen recently as a new and timely approach to sustainable fisheries management.  The FIP approach </w:t>
      </w:r>
      <w:r w:rsidR="00292D88">
        <w:t xml:space="preserve">distinguished itself from previous forms of intervention </w:t>
      </w:r>
      <w:r w:rsidR="004662F8">
        <w:t>in that it recognizes the need in many fisheries</w:t>
      </w:r>
      <w:r w:rsidR="00292D88">
        <w:t xml:space="preserve"> for a “</w:t>
      </w:r>
      <w:r w:rsidR="004662F8">
        <w:t>step</w:t>
      </w:r>
      <w:r w:rsidR="00292D88">
        <w:t>wise” approach of continual improvement, while remaining targeted towards (and measured against) the principles and criteria of Marine Stewardship Council (MSC) eco-certification. M</w:t>
      </w:r>
      <w:r>
        <w:t>erging government and market-led drivers fo</w:t>
      </w:r>
      <w:r w:rsidR="00292D88">
        <w:t xml:space="preserve">r improved fisheries management, the FIP approach is particularly applicable in </w:t>
      </w:r>
      <w:r>
        <w:t>developing countries</w:t>
      </w:r>
      <w:r w:rsidR="00292D88">
        <w:t xml:space="preserve"> - where</w:t>
      </w:r>
      <w:r>
        <w:t xml:space="preserve"> </w:t>
      </w:r>
      <w:r w:rsidR="00292D88">
        <w:t xml:space="preserve">limited </w:t>
      </w:r>
      <w:r>
        <w:t xml:space="preserve">financial </w:t>
      </w:r>
      <w:r w:rsidR="00292D88">
        <w:t xml:space="preserve">and human resources combined with generally weak fisheries management means that </w:t>
      </w:r>
      <w:r>
        <w:t>MSC certification</w:t>
      </w:r>
      <w:r w:rsidR="00292D88">
        <w:t xml:space="preserve"> is not practically achievable in the near-term</w:t>
      </w:r>
      <w:r>
        <w:t xml:space="preserve">. </w:t>
      </w:r>
      <w:r w:rsidR="00292D88">
        <w:t xml:space="preserve"> For some fisheries in the developing world t</w:t>
      </w:r>
      <w:r w:rsidR="004662F8">
        <w:t>he step</w:t>
      </w:r>
      <w:r w:rsidR="00292D88">
        <w:t xml:space="preserve">wise, yet clearly defined and measurable, approach of FIPs provides a useful tool for stakeholders – including buyers, suppliers, government managers and local fishers – to meet </w:t>
      </w:r>
      <w:r>
        <w:t>commitments about sourcing from sustainably</w:t>
      </w:r>
      <w:r w:rsidR="00292D88">
        <w:t xml:space="preserve">-managed fisheries and/or </w:t>
      </w:r>
      <w:r>
        <w:t>improving fisheries management perfo</w:t>
      </w:r>
      <w:r w:rsidR="00292D88">
        <w:t xml:space="preserve">rmance. </w:t>
      </w:r>
    </w:p>
    <w:p w:rsidR="00292D88" w:rsidRDefault="00292D88" w:rsidP="00292D88">
      <w:r>
        <w:t>Recent experiences with FIPs have demonstrated that there are a number of key aspects to the approach and methodology being used.  FIPs are typically externally facilitated by consultants/assessors with previous experience of conducting fisheries pre- and full-assessments. Th</w:t>
      </w:r>
      <w:r w:rsidR="004662F8">
        <w:t>is is important because the FIP</w:t>
      </w:r>
      <w:r>
        <w:t xml:space="preserve"> uses the MSC standard as a benchmarking tool for assessing and improving </w:t>
      </w:r>
      <w:r w:rsidR="004662F8">
        <w:t>fishery management performance.  The FIP</w:t>
      </w:r>
      <w:r>
        <w:t xml:space="preserve"> engages multi-stakeholder participation, and incorporate</w:t>
      </w:r>
      <w:r w:rsidR="004662F8">
        <w:t>s</w:t>
      </w:r>
      <w:r>
        <w:t xml:space="preserve"> a process whereby Government, the p</w:t>
      </w:r>
      <w:r w:rsidR="004662F8">
        <w:t>rivate sector, and fishers</w:t>
      </w:r>
      <w:r>
        <w:t>, all work together to specify and implement agreed improvements</w:t>
      </w:r>
      <w:r w:rsidR="004662F8">
        <w:t xml:space="preserve"> in how the fishery is managed.</w:t>
      </w:r>
    </w:p>
    <w:p w:rsidR="007C42C4" w:rsidRPr="007C42C4" w:rsidRDefault="004662F8" w:rsidP="004662F8">
      <w:r>
        <w:t>The FIP</w:t>
      </w:r>
      <w:r w:rsidR="00292D88">
        <w:t xml:space="preserve"> utilises a stepw</w:t>
      </w:r>
      <w:r>
        <w:t xml:space="preserve">ise approach that includes pre-assessment (measured against MSC criteria), scoping, stakeholder review and technical input, and the identification of a FIP work plan with agreed-upon priorities, activities, timelines and outputs/outcomes (see Figure 4). </w:t>
      </w:r>
    </w:p>
    <w:p w:rsidR="004662F8" w:rsidRDefault="004662F8" w:rsidP="007C42C4">
      <w:pPr>
        <w:spacing w:after="120" w:line="240" w:lineRule="auto"/>
        <w:rPr>
          <w:rFonts w:ascii="Calibri" w:eastAsia="Times New Roman" w:hAnsi="Calibri" w:cs="Cordia New"/>
          <w:b/>
          <w:bCs/>
          <w:sz w:val="18"/>
          <w:szCs w:val="18"/>
          <w:lang w:val="en-GB"/>
        </w:rPr>
      </w:pPr>
      <w:bookmarkStart w:id="1" w:name="_Ref303016968"/>
      <w:bookmarkStart w:id="2" w:name="_Toc306718762"/>
    </w:p>
    <w:p w:rsidR="007C42C4" w:rsidRPr="004662F8" w:rsidRDefault="007C42C4" w:rsidP="007C42C4">
      <w:pPr>
        <w:spacing w:after="120" w:line="240" w:lineRule="auto"/>
        <w:rPr>
          <w:rFonts w:ascii="Calibri" w:eastAsia="Times New Roman" w:hAnsi="Calibri" w:cs="Cordia New"/>
          <w:b/>
          <w:bCs/>
          <w:sz w:val="20"/>
          <w:szCs w:val="20"/>
          <w:lang w:val="en-GB"/>
        </w:rPr>
      </w:pPr>
      <w:r w:rsidRPr="004662F8">
        <w:rPr>
          <w:rFonts w:ascii="Calibri" w:eastAsia="Times New Roman" w:hAnsi="Calibri" w:cs="Cordia New"/>
          <w:b/>
          <w:bCs/>
          <w:sz w:val="20"/>
          <w:szCs w:val="20"/>
          <w:lang w:val="en-GB"/>
        </w:rPr>
        <w:t xml:space="preserve">Figure </w:t>
      </w:r>
      <w:r w:rsidRPr="004662F8">
        <w:rPr>
          <w:rFonts w:ascii="Calibri" w:eastAsia="Times New Roman" w:hAnsi="Calibri" w:cs="Cordia New"/>
          <w:b/>
          <w:bCs/>
          <w:sz w:val="20"/>
          <w:szCs w:val="20"/>
          <w:lang w:val="en-GB"/>
        </w:rPr>
        <w:fldChar w:fldCharType="begin"/>
      </w:r>
      <w:r w:rsidRPr="004662F8">
        <w:rPr>
          <w:rFonts w:ascii="Calibri" w:eastAsia="Times New Roman" w:hAnsi="Calibri" w:cs="Cordia New"/>
          <w:b/>
          <w:bCs/>
          <w:sz w:val="20"/>
          <w:szCs w:val="20"/>
          <w:lang w:val="en-GB"/>
        </w:rPr>
        <w:instrText xml:space="preserve"> SEQ Figure \* ARABIC </w:instrText>
      </w:r>
      <w:r w:rsidRPr="004662F8">
        <w:rPr>
          <w:rFonts w:ascii="Calibri" w:eastAsia="Times New Roman" w:hAnsi="Calibri" w:cs="Cordia New"/>
          <w:b/>
          <w:bCs/>
          <w:sz w:val="20"/>
          <w:szCs w:val="20"/>
          <w:lang w:val="en-GB"/>
        </w:rPr>
        <w:fldChar w:fldCharType="separate"/>
      </w:r>
      <w:r w:rsidRPr="004662F8">
        <w:rPr>
          <w:rFonts w:ascii="Calibri" w:eastAsia="Times New Roman" w:hAnsi="Calibri" w:cs="Cordia New"/>
          <w:b/>
          <w:bCs/>
          <w:noProof/>
          <w:sz w:val="20"/>
          <w:szCs w:val="20"/>
          <w:lang w:val="en-GB"/>
        </w:rPr>
        <w:t>1</w:t>
      </w:r>
      <w:r w:rsidRPr="004662F8">
        <w:rPr>
          <w:rFonts w:ascii="Calibri" w:eastAsia="Times New Roman" w:hAnsi="Calibri" w:cs="Cordia New"/>
          <w:b/>
          <w:bCs/>
          <w:sz w:val="20"/>
          <w:szCs w:val="20"/>
          <w:lang w:val="en-GB"/>
        </w:rPr>
        <w:fldChar w:fldCharType="end"/>
      </w:r>
      <w:bookmarkEnd w:id="1"/>
      <w:r w:rsidRPr="004662F8">
        <w:rPr>
          <w:rFonts w:ascii="Calibri" w:eastAsia="Times New Roman" w:hAnsi="Calibri" w:cs="Cordia New"/>
          <w:b/>
          <w:bCs/>
          <w:sz w:val="20"/>
          <w:szCs w:val="20"/>
          <w:lang w:val="en-GB"/>
        </w:rPr>
        <w:t xml:space="preserve">: </w:t>
      </w:r>
      <w:r w:rsidR="00D72C15" w:rsidRPr="004662F8">
        <w:rPr>
          <w:rFonts w:ascii="Calibri" w:eastAsia="Times New Roman" w:hAnsi="Calibri" w:cs="Cordia New"/>
          <w:b/>
          <w:bCs/>
          <w:sz w:val="20"/>
          <w:szCs w:val="20"/>
          <w:lang w:val="en-GB"/>
        </w:rPr>
        <w:t xml:space="preserve">General </w:t>
      </w:r>
      <w:r w:rsidR="0076474B" w:rsidRPr="004662F8">
        <w:rPr>
          <w:rFonts w:ascii="Calibri" w:eastAsia="Times New Roman" w:hAnsi="Calibri" w:cs="Cordia New"/>
          <w:b/>
          <w:bCs/>
          <w:sz w:val="20"/>
          <w:szCs w:val="20"/>
          <w:lang w:val="en-GB"/>
        </w:rPr>
        <w:t>overview of</w:t>
      </w:r>
      <w:r w:rsidR="00D72C15" w:rsidRPr="004662F8">
        <w:rPr>
          <w:rFonts w:ascii="Calibri" w:eastAsia="Times New Roman" w:hAnsi="Calibri" w:cs="Cordia New"/>
          <w:b/>
          <w:bCs/>
          <w:sz w:val="20"/>
          <w:szCs w:val="20"/>
          <w:lang w:val="en-GB"/>
        </w:rPr>
        <w:t xml:space="preserve"> t</w:t>
      </w:r>
      <w:r w:rsidRPr="004662F8">
        <w:rPr>
          <w:rFonts w:ascii="Calibri" w:eastAsia="Times New Roman" w:hAnsi="Calibri" w:cs="Cordia New"/>
          <w:b/>
          <w:bCs/>
          <w:sz w:val="20"/>
          <w:szCs w:val="20"/>
          <w:lang w:val="en-GB"/>
        </w:rPr>
        <w:t xml:space="preserve">he FIP </w:t>
      </w:r>
      <w:r w:rsidR="00D72C15" w:rsidRPr="004662F8">
        <w:rPr>
          <w:rFonts w:ascii="Calibri" w:eastAsia="Times New Roman" w:hAnsi="Calibri" w:cs="Cordia New"/>
          <w:b/>
          <w:bCs/>
          <w:sz w:val="20"/>
          <w:szCs w:val="20"/>
          <w:lang w:val="en-GB"/>
        </w:rPr>
        <w:t xml:space="preserve">process </w:t>
      </w:r>
      <w:bookmarkEnd w:id="2"/>
      <w:r w:rsidRPr="004662F8">
        <w:rPr>
          <w:rFonts w:ascii="Calibri" w:eastAsia="Times New Roman" w:hAnsi="Calibri" w:cs="Cordia New"/>
          <w:bCs/>
          <w:sz w:val="20"/>
          <w:szCs w:val="20"/>
          <w:lang w:val="en-GB"/>
        </w:rPr>
        <w:t>(source: based on materials from Poseidon Aquatic Resource Management Ltd.)</w:t>
      </w:r>
      <w:r w:rsidRPr="004662F8">
        <w:rPr>
          <w:rFonts w:ascii="Calibri" w:eastAsia="Times New Roman" w:hAnsi="Calibri" w:cs="Cordia New"/>
          <w:b/>
          <w:bCs/>
          <w:sz w:val="20"/>
          <w:szCs w:val="20"/>
          <w:lang w:val="en-GB"/>
        </w:rPr>
        <w:t xml:space="preserve"> </w:t>
      </w:r>
    </w:p>
    <w:p w:rsidR="004662F8" w:rsidRPr="004662F8" w:rsidRDefault="004662F8" w:rsidP="007C42C4">
      <w:pPr>
        <w:spacing w:after="120" w:line="240" w:lineRule="auto"/>
        <w:rPr>
          <w:rFonts w:ascii="Calibri" w:eastAsia="Times New Roman" w:hAnsi="Calibri" w:cs="Cordia New"/>
          <w:b/>
          <w:bCs/>
          <w:sz w:val="18"/>
          <w:szCs w:val="18"/>
          <w:lang w:val="en-GB"/>
        </w:rPr>
      </w:pPr>
    </w:p>
    <w:p w:rsidR="007C42C4" w:rsidRDefault="00D72C15" w:rsidP="004662F8">
      <w:pPr>
        <w:spacing w:after="120" w:line="240" w:lineRule="auto"/>
        <w:rPr>
          <w:rFonts w:ascii="Calibri" w:eastAsia="Times New Roman" w:hAnsi="Calibri" w:cs="Cordia New"/>
          <w:lang w:val="en-GB"/>
        </w:rPr>
      </w:pPr>
      <w:r>
        <w:rPr>
          <w:rFonts w:ascii="Calibri" w:eastAsia="Times New Roman" w:hAnsi="Calibri" w:cs="Cordia New"/>
          <w:noProof/>
        </w:rPr>
        <w:drawing>
          <wp:inline distT="0" distB="0" distL="0" distR="0" wp14:anchorId="797816A5">
            <wp:extent cx="3763023" cy="2622430"/>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802" cy="2633426"/>
                    </a:xfrm>
                    <a:prstGeom prst="rect">
                      <a:avLst/>
                    </a:prstGeom>
                    <a:noFill/>
                  </pic:spPr>
                </pic:pic>
              </a:graphicData>
            </a:graphic>
          </wp:inline>
        </w:drawing>
      </w:r>
    </w:p>
    <w:p w:rsidR="00D72C15" w:rsidRDefault="004662F8" w:rsidP="007C42C4">
      <w:pPr>
        <w:spacing w:after="120" w:line="240" w:lineRule="auto"/>
        <w:jc w:val="both"/>
        <w:rPr>
          <w:rFonts w:ascii="Calibri" w:eastAsia="Times New Roman" w:hAnsi="Calibri" w:cs="Cordia New"/>
          <w:lang w:val="en-GB"/>
        </w:rPr>
      </w:pPr>
      <w:r>
        <w:rPr>
          <w:rFonts w:ascii="Calibri" w:eastAsia="Times New Roman" w:hAnsi="Calibri" w:cs="Cordia New"/>
          <w:lang w:val="en-GB"/>
        </w:rPr>
        <w:lastRenderedPageBreak/>
        <w:t>For the purposes of this discussion we will outline a 4-step FIP process, with “Implementation” identified as the 4</w:t>
      </w:r>
      <w:r w:rsidRPr="004662F8">
        <w:rPr>
          <w:rFonts w:ascii="Calibri" w:eastAsia="Times New Roman" w:hAnsi="Calibri" w:cs="Cordia New"/>
          <w:vertAlign w:val="superscript"/>
          <w:lang w:val="en-GB"/>
        </w:rPr>
        <w:t>th</w:t>
      </w:r>
      <w:r>
        <w:rPr>
          <w:rFonts w:ascii="Calibri" w:eastAsia="Times New Roman" w:hAnsi="Calibri" w:cs="Cordia New"/>
          <w:lang w:val="en-GB"/>
        </w:rPr>
        <w:t xml:space="preserve"> step.  In reality “implementation” involves further component steps</w:t>
      </w:r>
      <w:r w:rsidR="002151B1">
        <w:rPr>
          <w:rFonts w:ascii="Calibri" w:eastAsia="Times New Roman" w:hAnsi="Calibri" w:cs="Cordia New"/>
          <w:lang w:val="en-GB"/>
        </w:rPr>
        <w:t xml:space="preserve"> including preparation, planning and implementation</w:t>
      </w:r>
      <w:r>
        <w:rPr>
          <w:rFonts w:ascii="Calibri" w:eastAsia="Times New Roman" w:hAnsi="Calibri" w:cs="Cordia New"/>
          <w:lang w:val="en-GB"/>
        </w:rPr>
        <w:t xml:space="preserve"> of a fishery-specific management plan</w:t>
      </w:r>
      <w:r w:rsidR="002151B1">
        <w:rPr>
          <w:rFonts w:ascii="Calibri" w:eastAsia="Times New Roman" w:hAnsi="Calibri" w:cs="Cordia New"/>
          <w:lang w:val="en-GB"/>
        </w:rPr>
        <w:t>.  It is not certain that in the case of Vietnam tuna that a FIP process would task itself with developing a specific tuna management plan, as indeed there is already a process underway with MARD and their partners to develop such plans.  Instead it is likely that the tuna FIP in Vietnam would be optimized with this existing initiative and aim to ensure that verifiable improvements in fisheries management are indeed being made (and that the fishery is indeed addressing comprehensively identified deficiencies with respect to future MSC certification).  However, like all FIPs the simplified process described in Figure 1 and articulated below places an emphasis on a clearly-described, agreed-upon work plan and set of activities for fishery improvement – with specific roles, responsibilities, budgets and outcomes articulated.</w:t>
      </w:r>
    </w:p>
    <w:p w:rsidR="001A597E" w:rsidRDefault="001A597E" w:rsidP="007C42C4">
      <w:pPr>
        <w:spacing w:after="120" w:line="240" w:lineRule="auto"/>
        <w:jc w:val="both"/>
        <w:rPr>
          <w:rFonts w:ascii="Calibri" w:eastAsia="Times New Roman" w:hAnsi="Calibri" w:cs="Cordia New"/>
          <w:lang w:val="en-GB"/>
        </w:rPr>
      </w:pPr>
    </w:p>
    <w:p w:rsidR="001A597E" w:rsidRDefault="001A597E" w:rsidP="001A597E">
      <w:pPr>
        <w:pStyle w:val="ListParagraph"/>
        <w:numPr>
          <w:ilvl w:val="0"/>
          <w:numId w:val="4"/>
        </w:numPr>
        <w:spacing w:after="120" w:line="240" w:lineRule="auto"/>
        <w:jc w:val="both"/>
        <w:rPr>
          <w:rFonts w:ascii="Calibri" w:eastAsia="Times New Roman" w:hAnsi="Calibri" w:cs="Cordia New"/>
          <w:lang w:val="en-GB"/>
        </w:rPr>
      </w:pPr>
      <w:r>
        <w:rPr>
          <w:rFonts w:ascii="Calibri" w:eastAsia="Times New Roman" w:hAnsi="Calibri" w:cs="Cordia New"/>
          <w:lang w:val="en-GB"/>
        </w:rPr>
        <w:t>Rapid / pre-assessment based on MSC standard</w:t>
      </w:r>
    </w:p>
    <w:p w:rsidR="001A597E" w:rsidRDefault="001A597E" w:rsidP="001A597E">
      <w:pPr>
        <w:spacing w:after="120" w:line="240" w:lineRule="auto"/>
        <w:jc w:val="both"/>
        <w:rPr>
          <w:rFonts w:ascii="Calibri" w:eastAsia="Times New Roman" w:hAnsi="Calibri" w:cs="Cordia New"/>
          <w:lang w:val="en-GB"/>
        </w:rPr>
      </w:pPr>
    </w:p>
    <w:p w:rsidR="001A597E" w:rsidRPr="001A597E" w:rsidRDefault="001A597E" w:rsidP="001A597E">
      <w:pPr>
        <w:spacing w:after="120" w:line="240" w:lineRule="auto"/>
        <w:jc w:val="both"/>
        <w:rPr>
          <w:rFonts w:ascii="Calibri" w:eastAsia="Times New Roman" w:hAnsi="Calibri" w:cs="Cordia New"/>
          <w:lang w:val="en-GB"/>
        </w:rPr>
      </w:pPr>
      <w:r>
        <w:rPr>
          <w:rFonts w:ascii="Calibri" w:eastAsia="Times New Roman" w:hAnsi="Calibri" w:cs="Cordia New"/>
          <w:lang w:val="en-GB"/>
        </w:rPr>
        <w:t>The first Step in the FIP process</w:t>
      </w:r>
      <w:r w:rsidRPr="001A597E">
        <w:rPr>
          <w:rFonts w:ascii="Calibri" w:eastAsia="Times New Roman" w:hAnsi="Calibri" w:cs="Cordia New"/>
          <w:lang w:val="en-GB"/>
        </w:rPr>
        <w:t xml:space="preserve"> i</w:t>
      </w:r>
      <w:r>
        <w:rPr>
          <w:rFonts w:ascii="Calibri" w:eastAsia="Times New Roman" w:hAnsi="Calibri" w:cs="Cordia New"/>
          <w:lang w:val="en-GB"/>
        </w:rPr>
        <w:t xml:space="preserve">s to conduct a pre-assessment </w:t>
      </w:r>
      <w:r w:rsidRPr="001A597E">
        <w:rPr>
          <w:rFonts w:ascii="Calibri" w:eastAsia="Times New Roman" w:hAnsi="Calibri" w:cs="Cordia New"/>
          <w:lang w:val="en-GB"/>
        </w:rPr>
        <w:t xml:space="preserve">of the current status, impacts and management status of the fishery concerned. In defining ‘the fishery’ being assessed, the assessment must first define the ‘unit of assessment’ in terms of the target stock, the fleet or vessels targeting it, and the specific fishing gear being used. For example the </w:t>
      </w:r>
      <w:r>
        <w:rPr>
          <w:rFonts w:ascii="Calibri" w:eastAsia="Times New Roman" w:hAnsi="Calibri" w:cs="Cordia New"/>
          <w:lang w:val="en-GB"/>
        </w:rPr>
        <w:t xml:space="preserve">unit of assessment could be Vietnamese landline and handline vessels targeting yellowfin and big eye </w:t>
      </w:r>
      <w:r w:rsidRPr="001A597E">
        <w:rPr>
          <w:rFonts w:ascii="Calibri" w:eastAsia="Times New Roman" w:hAnsi="Calibri" w:cs="Cordia New"/>
          <w:lang w:val="en-GB"/>
        </w:rPr>
        <w:t>tuna.</w:t>
      </w:r>
    </w:p>
    <w:p w:rsidR="001A597E" w:rsidRDefault="001A597E" w:rsidP="001A597E">
      <w:pPr>
        <w:spacing w:after="120" w:line="240" w:lineRule="auto"/>
        <w:jc w:val="both"/>
        <w:rPr>
          <w:rFonts w:ascii="Calibri" w:eastAsia="Times New Roman" w:hAnsi="Calibri" w:cs="Cordia New"/>
          <w:lang w:val="en-GB"/>
        </w:rPr>
      </w:pPr>
      <w:r w:rsidRPr="001A597E">
        <w:rPr>
          <w:rFonts w:ascii="Calibri" w:eastAsia="Times New Roman" w:hAnsi="Calibri" w:cs="Cordia New"/>
          <w:lang w:val="en-GB"/>
        </w:rPr>
        <w:t>The methodology is guided by the application of three core MSC pr</w:t>
      </w:r>
      <w:r>
        <w:rPr>
          <w:rFonts w:ascii="Calibri" w:eastAsia="Times New Roman" w:hAnsi="Calibri" w:cs="Cordia New"/>
          <w:lang w:val="en-GB"/>
        </w:rPr>
        <w:t>inciples, specifically:</w:t>
      </w:r>
    </w:p>
    <w:p w:rsidR="002151B1" w:rsidRDefault="002151B1" w:rsidP="002151B1">
      <w:pPr>
        <w:pStyle w:val="ListParagraph"/>
        <w:numPr>
          <w:ilvl w:val="0"/>
          <w:numId w:val="5"/>
        </w:numPr>
        <w:spacing w:after="120" w:line="240" w:lineRule="auto"/>
        <w:jc w:val="both"/>
        <w:rPr>
          <w:rFonts w:ascii="Calibri" w:eastAsia="Times New Roman" w:hAnsi="Calibri" w:cs="Cordia New"/>
          <w:lang w:val="en-GB"/>
        </w:rPr>
      </w:pPr>
      <w:r w:rsidRPr="002151B1">
        <w:rPr>
          <w:rFonts w:ascii="Calibri" w:eastAsia="Times New Roman" w:hAnsi="Calibri" w:cs="Cordia New"/>
          <w:lang w:val="en-GB"/>
        </w:rPr>
        <w:t>Principle 1. Target Stock: Status, management, information and research (Covering the range of the stock)</w:t>
      </w:r>
    </w:p>
    <w:p w:rsidR="002151B1" w:rsidRDefault="002151B1" w:rsidP="002151B1">
      <w:pPr>
        <w:pStyle w:val="ListParagraph"/>
        <w:numPr>
          <w:ilvl w:val="0"/>
          <w:numId w:val="5"/>
        </w:numPr>
        <w:spacing w:after="120" w:line="240" w:lineRule="auto"/>
        <w:jc w:val="both"/>
        <w:rPr>
          <w:rFonts w:ascii="Calibri" w:eastAsia="Times New Roman" w:hAnsi="Calibri" w:cs="Cordia New"/>
          <w:lang w:val="en-GB"/>
        </w:rPr>
      </w:pPr>
      <w:r>
        <w:rPr>
          <w:rFonts w:ascii="Calibri" w:eastAsia="Times New Roman" w:hAnsi="Calibri" w:cs="Cordia New"/>
          <w:lang w:val="en-GB"/>
        </w:rPr>
        <w:t xml:space="preserve">Principle 2 - </w:t>
      </w:r>
      <w:r w:rsidRPr="002151B1">
        <w:rPr>
          <w:rFonts w:ascii="Calibri" w:eastAsia="Times New Roman" w:hAnsi="Calibri" w:cs="Cordia New"/>
          <w:lang w:val="en-GB"/>
        </w:rPr>
        <w:t>Ecosystem elements (retained, bycatch, ETP, habitat and ecosystems): Status, management and information (Fishery specific)</w:t>
      </w:r>
    </w:p>
    <w:p w:rsidR="002151B1" w:rsidRPr="002151B1" w:rsidRDefault="002151B1" w:rsidP="001A597E">
      <w:pPr>
        <w:pStyle w:val="ListParagraph"/>
        <w:numPr>
          <w:ilvl w:val="0"/>
          <w:numId w:val="5"/>
        </w:numPr>
        <w:spacing w:after="120" w:line="240" w:lineRule="auto"/>
        <w:jc w:val="both"/>
        <w:rPr>
          <w:rFonts w:ascii="Calibri" w:eastAsia="Times New Roman" w:hAnsi="Calibri" w:cs="Cordia New"/>
          <w:lang w:val="en-GB"/>
        </w:rPr>
      </w:pPr>
      <w:r>
        <w:rPr>
          <w:rFonts w:ascii="Calibri" w:eastAsia="Times New Roman" w:hAnsi="Calibri" w:cs="Cordia New"/>
          <w:lang w:val="en-GB"/>
        </w:rPr>
        <w:t xml:space="preserve">Principle 3 - </w:t>
      </w:r>
      <w:r w:rsidRPr="002151B1">
        <w:rPr>
          <w:rFonts w:ascii="Calibri" w:eastAsia="Times New Roman" w:hAnsi="Calibri" w:cs="Cordia New"/>
          <w:lang w:val="en-GB"/>
        </w:rPr>
        <w:t>Governance and fishery specific management (1-4, covering the range of the stock, 5-9 are fishery specific)</w:t>
      </w:r>
    </w:p>
    <w:p w:rsidR="001A597E" w:rsidRDefault="001A597E" w:rsidP="001A597E">
      <w:pPr>
        <w:spacing w:after="120" w:line="240" w:lineRule="auto"/>
        <w:jc w:val="both"/>
        <w:rPr>
          <w:rFonts w:ascii="Calibri" w:eastAsia="Times New Roman" w:hAnsi="Calibri" w:cs="Cordia New"/>
          <w:lang w:val="en-GB"/>
        </w:rPr>
      </w:pPr>
      <w:r w:rsidRPr="001A597E">
        <w:rPr>
          <w:rFonts w:ascii="Calibri" w:eastAsia="Times New Roman" w:hAnsi="Calibri" w:cs="Cordia New"/>
          <w:lang w:val="en-GB"/>
        </w:rPr>
        <w:t>For each of the three Principles a number of different issues are considered, and the MSC standard specifies what would be expected in a well-management and sustainable fishery for each of the different issue</w:t>
      </w:r>
      <w:r>
        <w:rPr>
          <w:rFonts w:ascii="Calibri" w:eastAsia="Times New Roman" w:hAnsi="Calibri" w:cs="Cordia New"/>
          <w:lang w:val="en-GB"/>
        </w:rPr>
        <w:t xml:space="preserve">s. </w:t>
      </w:r>
    </w:p>
    <w:p w:rsidR="002151B1" w:rsidRPr="006817E6" w:rsidRDefault="0076474B" w:rsidP="001A597E">
      <w:pPr>
        <w:spacing w:after="120" w:line="240" w:lineRule="auto"/>
        <w:jc w:val="both"/>
        <w:rPr>
          <w:rFonts w:ascii="Calibri" w:eastAsia="Times New Roman" w:hAnsi="Calibri" w:cs="Cordia New"/>
          <w:lang w:val="en-GB"/>
        </w:rPr>
      </w:pPr>
      <w:r>
        <w:rPr>
          <w:rFonts w:ascii="Calibri" w:eastAsia="Times New Roman" w:hAnsi="Calibri" w:cs="Cordia New"/>
          <w:lang w:val="en-GB"/>
        </w:rPr>
        <w:t xml:space="preserve">To illustrate this, Figure 2 below shows a hypothetical example of part of a rapid/pre-assessment.  As can be seen, in this example, different gear types have been rated as either “meeting standard”, “below standard” and “fail” for different elements of the MSC Performance Indicators. </w:t>
      </w:r>
    </w:p>
    <w:p w:rsidR="002151B1" w:rsidRDefault="002151B1" w:rsidP="001A597E">
      <w:pPr>
        <w:spacing w:after="120" w:line="240" w:lineRule="auto"/>
        <w:jc w:val="both"/>
        <w:rPr>
          <w:rFonts w:ascii="Calibri" w:eastAsia="Times New Roman" w:hAnsi="Calibri" w:cs="Cordia New"/>
          <w:b/>
          <w:sz w:val="20"/>
          <w:szCs w:val="20"/>
          <w:lang w:val="en-GB"/>
        </w:rPr>
      </w:pPr>
    </w:p>
    <w:p w:rsidR="006817E6" w:rsidRDefault="006817E6" w:rsidP="001A597E">
      <w:pPr>
        <w:spacing w:after="120" w:line="240" w:lineRule="auto"/>
        <w:jc w:val="both"/>
        <w:rPr>
          <w:rFonts w:ascii="Calibri" w:eastAsia="Times New Roman" w:hAnsi="Calibri" w:cs="Cordia New"/>
          <w:b/>
          <w:sz w:val="20"/>
          <w:szCs w:val="20"/>
          <w:lang w:val="en-GB"/>
        </w:rPr>
      </w:pPr>
    </w:p>
    <w:p w:rsidR="006817E6" w:rsidRDefault="006817E6" w:rsidP="001A597E">
      <w:pPr>
        <w:spacing w:after="120" w:line="240" w:lineRule="auto"/>
        <w:jc w:val="both"/>
        <w:rPr>
          <w:rFonts w:ascii="Calibri" w:eastAsia="Times New Roman" w:hAnsi="Calibri" w:cs="Cordia New"/>
          <w:b/>
          <w:sz w:val="20"/>
          <w:szCs w:val="20"/>
          <w:lang w:val="en-GB"/>
        </w:rPr>
      </w:pPr>
    </w:p>
    <w:p w:rsidR="006817E6" w:rsidRDefault="006817E6" w:rsidP="001A597E">
      <w:pPr>
        <w:spacing w:after="120" w:line="240" w:lineRule="auto"/>
        <w:jc w:val="both"/>
        <w:rPr>
          <w:rFonts w:ascii="Calibri" w:eastAsia="Times New Roman" w:hAnsi="Calibri" w:cs="Cordia New"/>
          <w:b/>
          <w:sz w:val="20"/>
          <w:szCs w:val="20"/>
          <w:lang w:val="en-GB"/>
        </w:rPr>
      </w:pPr>
    </w:p>
    <w:p w:rsidR="006817E6" w:rsidRDefault="006817E6" w:rsidP="001A597E">
      <w:pPr>
        <w:spacing w:after="120" w:line="240" w:lineRule="auto"/>
        <w:jc w:val="both"/>
        <w:rPr>
          <w:rFonts w:ascii="Calibri" w:eastAsia="Times New Roman" w:hAnsi="Calibri" w:cs="Cordia New"/>
          <w:b/>
          <w:sz w:val="20"/>
          <w:szCs w:val="20"/>
          <w:lang w:val="en-GB"/>
        </w:rPr>
      </w:pPr>
    </w:p>
    <w:p w:rsidR="006817E6" w:rsidRDefault="006817E6" w:rsidP="001A597E">
      <w:pPr>
        <w:spacing w:after="120" w:line="240" w:lineRule="auto"/>
        <w:jc w:val="both"/>
        <w:rPr>
          <w:rFonts w:ascii="Calibri" w:eastAsia="Times New Roman" w:hAnsi="Calibri" w:cs="Cordia New"/>
          <w:b/>
          <w:sz w:val="20"/>
          <w:szCs w:val="20"/>
          <w:lang w:val="en-GB"/>
        </w:rPr>
      </w:pPr>
    </w:p>
    <w:p w:rsidR="006817E6" w:rsidRDefault="006817E6" w:rsidP="001A597E">
      <w:pPr>
        <w:spacing w:after="120" w:line="240" w:lineRule="auto"/>
        <w:jc w:val="both"/>
        <w:rPr>
          <w:rFonts w:ascii="Calibri" w:eastAsia="Times New Roman" w:hAnsi="Calibri" w:cs="Cordia New"/>
          <w:b/>
          <w:sz w:val="20"/>
          <w:szCs w:val="20"/>
          <w:lang w:val="en-GB"/>
        </w:rPr>
      </w:pPr>
    </w:p>
    <w:p w:rsidR="006817E6" w:rsidRDefault="006817E6" w:rsidP="001A597E">
      <w:pPr>
        <w:spacing w:after="120" w:line="240" w:lineRule="auto"/>
        <w:jc w:val="both"/>
        <w:rPr>
          <w:rFonts w:ascii="Calibri" w:eastAsia="Times New Roman" w:hAnsi="Calibri" w:cs="Cordia New"/>
          <w:b/>
          <w:sz w:val="20"/>
          <w:szCs w:val="20"/>
          <w:lang w:val="en-GB"/>
        </w:rPr>
      </w:pPr>
    </w:p>
    <w:p w:rsidR="006817E6" w:rsidRDefault="006817E6" w:rsidP="001A597E">
      <w:pPr>
        <w:spacing w:after="120" w:line="240" w:lineRule="auto"/>
        <w:jc w:val="both"/>
        <w:rPr>
          <w:rFonts w:ascii="Calibri" w:eastAsia="Times New Roman" w:hAnsi="Calibri" w:cs="Cordia New"/>
          <w:b/>
          <w:sz w:val="20"/>
          <w:szCs w:val="20"/>
          <w:lang w:val="en-GB"/>
        </w:rPr>
      </w:pPr>
    </w:p>
    <w:p w:rsidR="001A597E" w:rsidRPr="002151B1" w:rsidRDefault="002151B1" w:rsidP="001A597E">
      <w:pPr>
        <w:spacing w:after="120" w:line="240" w:lineRule="auto"/>
        <w:jc w:val="both"/>
        <w:rPr>
          <w:rFonts w:ascii="Calibri" w:eastAsia="Times New Roman" w:hAnsi="Calibri" w:cs="Cordia New"/>
          <w:b/>
          <w:sz w:val="20"/>
          <w:szCs w:val="20"/>
          <w:lang w:val="en-GB"/>
        </w:rPr>
      </w:pPr>
      <w:r w:rsidRPr="002151B1">
        <w:rPr>
          <w:rFonts w:ascii="Calibri" w:eastAsia="Times New Roman" w:hAnsi="Calibri" w:cs="Cordia New"/>
          <w:b/>
          <w:sz w:val="20"/>
          <w:szCs w:val="20"/>
          <w:lang w:val="en-GB"/>
        </w:rPr>
        <w:lastRenderedPageBreak/>
        <w:t>Figure 2 – Hypothetical fishery pre-assessment</w:t>
      </w:r>
    </w:p>
    <w:p w:rsidR="001A597E" w:rsidRDefault="001A597E" w:rsidP="001A597E">
      <w:pPr>
        <w:spacing w:after="120" w:line="240" w:lineRule="auto"/>
        <w:jc w:val="both"/>
        <w:rPr>
          <w:rFonts w:ascii="Calibri" w:eastAsia="Times New Roman" w:hAnsi="Calibri" w:cs="Cordia New"/>
          <w:lang w:val="en-GB"/>
        </w:rPr>
      </w:pPr>
      <w:r>
        <w:rPr>
          <w:rFonts w:ascii="Calibri" w:eastAsia="Times New Roman" w:hAnsi="Calibri" w:cs="Cordia New"/>
          <w:noProof/>
        </w:rPr>
        <w:drawing>
          <wp:inline distT="0" distB="0" distL="0" distR="0" wp14:anchorId="799B6784">
            <wp:extent cx="5066880" cy="3253095"/>
            <wp:effectExtent l="0" t="0" r="63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0586" cy="3255475"/>
                    </a:xfrm>
                    <a:prstGeom prst="rect">
                      <a:avLst/>
                    </a:prstGeom>
                    <a:noFill/>
                  </pic:spPr>
                </pic:pic>
              </a:graphicData>
            </a:graphic>
          </wp:inline>
        </w:drawing>
      </w:r>
    </w:p>
    <w:p w:rsidR="001A597E" w:rsidRDefault="001A597E" w:rsidP="001A597E">
      <w:pPr>
        <w:spacing w:after="120" w:line="240" w:lineRule="auto"/>
        <w:jc w:val="both"/>
        <w:rPr>
          <w:rFonts w:ascii="Calibri" w:eastAsia="Times New Roman" w:hAnsi="Calibri" w:cs="Cordia New"/>
          <w:lang w:val="en-GB"/>
        </w:rPr>
      </w:pPr>
    </w:p>
    <w:p w:rsidR="0076474B" w:rsidRPr="001A597E" w:rsidRDefault="0076474B" w:rsidP="001A597E">
      <w:pPr>
        <w:spacing w:after="120" w:line="240" w:lineRule="auto"/>
        <w:jc w:val="both"/>
        <w:rPr>
          <w:rFonts w:ascii="Calibri" w:eastAsia="Times New Roman" w:hAnsi="Calibri" w:cs="Cordia New"/>
          <w:lang w:val="en-GB"/>
        </w:rPr>
      </w:pPr>
    </w:p>
    <w:p w:rsidR="001A597E" w:rsidRDefault="002151B1" w:rsidP="001A597E">
      <w:pPr>
        <w:pStyle w:val="ListParagraph"/>
        <w:numPr>
          <w:ilvl w:val="0"/>
          <w:numId w:val="4"/>
        </w:numPr>
        <w:spacing w:after="120" w:line="240" w:lineRule="auto"/>
        <w:jc w:val="both"/>
        <w:rPr>
          <w:rFonts w:ascii="Calibri" w:eastAsia="Times New Roman" w:hAnsi="Calibri" w:cs="Cordia New"/>
          <w:lang w:val="en-GB"/>
        </w:rPr>
      </w:pPr>
      <w:r>
        <w:rPr>
          <w:rFonts w:ascii="Calibri" w:eastAsia="Times New Roman" w:hAnsi="Calibri" w:cs="Cordia New"/>
          <w:lang w:val="en-GB"/>
        </w:rPr>
        <w:t>FIP Scoping</w:t>
      </w:r>
    </w:p>
    <w:p w:rsidR="002151B1" w:rsidRDefault="002151B1" w:rsidP="002151B1">
      <w:pPr>
        <w:spacing w:after="120" w:line="240" w:lineRule="auto"/>
        <w:jc w:val="both"/>
        <w:rPr>
          <w:rFonts w:ascii="Calibri" w:eastAsia="Times New Roman" w:hAnsi="Calibri" w:cs="Cordia New"/>
          <w:lang w:val="en-GB"/>
        </w:rPr>
      </w:pPr>
    </w:p>
    <w:p w:rsidR="002151B1" w:rsidRPr="00150870" w:rsidRDefault="00150870" w:rsidP="00150870">
      <w:pPr>
        <w:spacing w:after="120" w:line="240" w:lineRule="auto"/>
        <w:jc w:val="both"/>
        <w:rPr>
          <w:rFonts w:ascii="Calibri" w:eastAsia="Times New Roman" w:hAnsi="Calibri" w:cs="Cordia New"/>
          <w:lang w:val="en-GB"/>
        </w:rPr>
      </w:pPr>
      <w:r>
        <w:rPr>
          <w:rFonts w:ascii="Calibri" w:eastAsia="Times New Roman" w:hAnsi="Calibri" w:cs="Cordia New"/>
          <w:lang w:val="en-GB"/>
        </w:rPr>
        <w:t xml:space="preserve">Step 2 </w:t>
      </w:r>
      <w:r w:rsidR="002151B1" w:rsidRPr="002151B1">
        <w:rPr>
          <w:rFonts w:ascii="Calibri" w:eastAsia="Times New Roman" w:hAnsi="Calibri" w:cs="Cordia New"/>
          <w:lang w:val="en-GB"/>
        </w:rPr>
        <w:t>involves the assessor ev</w:t>
      </w:r>
      <w:r>
        <w:rPr>
          <w:rFonts w:ascii="Calibri" w:eastAsia="Times New Roman" w:hAnsi="Calibri" w:cs="Cordia New"/>
          <w:lang w:val="en-GB"/>
        </w:rPr>
        <w:t>aluating the outputs from the pre-assessment</w:t>
      </w:r>
      <w:r w:rsidR="002151B1" w:rsidRPr="002151B1">
        <w:rPr>
          <w:rFonts w:ascii="Calibri" w:eastAsia="Times New Roman" w:hAnsi="Calibri" w:cs="Cordia New"/>
          <w:lang w:val="en-GB"/>
        </w:rPr>
        <w:t>, scoping the potential improvements, and recommending a series of ‘actions’. These actions are designed to help improve performanc</w:t>
      </w:r>
      <w:r>
        <w:rPr>
          <w:rFonts w:ascii="Calibri" w:eastAsia="Times New Roman" w:hAnsi="Calibri" w:cs="Cordia New"/>
          <w:lang w:val="en-GB"/>
        </w:rPr>
        <w:t>e against all individual Performance Indicators</w:t>
      </w:r>
      <w:r w:rsidR="002151B1" w:rsidRPr="002151B1">
        <w:rPr>
          <w:rFonts w:ascii="Calibri" w:eastAsia="Times New Roman" w:hAnsi="Calibri" w:cs="Cordia New"/>
          <w:lang w:val="en-GB"/>
        </w:rPr>
        <w:t xml:space="preserve"> considered during Step 1, but they also incorporate best practice and lessons learned from other fisheries.</w:t>
      </w:r>
    </w:p>
    <w:p w:rsidR="002151B1" w:rsidRDefault="002151B1" w:rsidP="002151B1">
      <w:pPr>
        <w:pStyle w:val="ListParagraph"/>
        <w:spacing w:after="120" w:line="240" w:lineRule="auto"/>
        <w:ind w:left="1080"/>
        <w:jc w:val="both"/>
        <w:rPr>
          <w:rFonts w:ascii="Calibri" w:eastAsia="Times New Roman" w:hAnsi="Calibri" w:cs="Cordia New"/>
          <w:lang w:val="en-GB"/>
        </w:rPr>
      </w:pPr>
    </w:p>
    <w:p w:rsidR="002151B1" w:rsidRDefault="00150870" w:rsidP="001A597E">
      <w:pPr>
        <w:pStyle w:val="ListParagraph"/>
        <w:numPr>
          <w:ilvl w:val="0"/>
          <w:numId w:val="4"/>
        </w:numPr>
        <w:spacing w:after="120" w:line="240" w:lineRule="auto"/>
        <w:jc w:val="both"/>
        <w:rPr>
          <w:rFonts w:ascii="Calibri" w:eastAsia="Times New Roman" w:hAnsi="Calibri" w:cs="Cordia New"/>
          <w:lang w:val="en-GB"/>
        </w:rPr>
      </w:pPr>
      <w:r>
        <w:rPr>
          <w:rFonts w:ascii="Calibri" w:eastAsia="Times New Roman" w:hAnsi="Calibri" w:cs="Cordia New"/>
          <w:lang w:val="en-GB"/>
        </w:rPr>
        <w:t>FIP stakeholder workshop and workplan development</w:t>
      </w:r>
    </w:p>
    <w:p w:rsidR="00150870" w:rsidRDefault="00150870" w:rsidP="00150870">
      <w:pPr>
        <w:pStyle w:val="ListParagraph"/>
        <w:spacing w:after="120" w:line="240" w:lineRule="auto"/>
        <w:ind w:left="1080"/>
        <w:jc w:val="both"/>
        <w:rPr>
          <w:rFonts w:ascii="Calibri" w:eastAsia="Times New Roman" w:hAnsi="Calibri" w:cs="Cordia New"/>
          <w:lang w:val="en-GB"/>
        </w:rPr>
      </w:pPr>
    </w:p>
    <w:p w:rsidR="00150870" w:rsidRDefault="00150870" w:rsidP="00150870">
      <w:pPr>
        <w:spacing w:after="120" w:line="240" w:lineRule="auto"/>
        <w:jc w:val="both"/>
        <w:rPr>
          <w:rFonts w:ascii="Calibri" w:eastAsia="Times New Roman" w:hAnsi="Calibri" w:cs="Cordia New"/>
          <w:lang w:val="en-GB"/>
        </w:rPr>
      </w:pPr>
      <w:r>
        <w:rPr>
          <w:rFonts w:ascii="Calibri" w:eastAsia="Times New Roman" w:hAnsi="Calibri" w:cs="Cordia New"/>
          <w:lang w:val="en-GB"/>
        </w:rPr>
        <w:t>Once the pre-assessment and related scoping is completed and results circulated, a multi-stakeholder workshop is held.  The main goals of the workshop are to:</w:t>
      </w:r>
    </w:p>
    <w:p w:rsidR="00150870" w:rsidRDefault="00150870" w:rsidP="00150870">
      <w:pPr>
        <w:pStyle w:val="ListParagraph"/>
        <w:numPr>
          <w:ilvl w:val="0"/>
          <w:numId w:val="6"/>
        </w:numPr>
        <w:spacing w:after="120" w:line="240" w:lineRule="auto"/>
        <w:jc w:val="both"/>
        <w:rPr>
          <w:rFonts w:ascii="Calibri" w:eastAsia="Times New Roman" w:hAnsi="Calibri" w:cs="Cordia New"/>
          <w:lang w:val="en-GB"/>
        </w:rPr>
      </w:pPr>
      <w:r>
        <w:rPr>
          <w:rFonts w:ascii="Calibri" w:eastAsia="Times New Roman" w:hAnsi="Calibri" w:cs="Cordia New"/>
          <w:lang w:val="en-GB"/>
        </w:rPr>
        <w:t>Identify and agree upon activities/a</w:t>
      </w:r>
      <w:r w:rsidRPr="00150870">
        <w:rPr>
          <w:rFonts w:ascii="Calibri" w:eastAsia="Times New Roman" w:hAnsi="Calibri" w:cs="Cordia New"/>
          <w:lang w:val="en-GB"/>
        </w:rPr>
        <w:t xml:space="preserve">ctions required to achieve </w:t>
      </w:r>
      <w:r>
        <w:rPr>
          <w:rFonts w:ascii="Calibri" w:eastAsia="Times New Roman" w:hAnsi="Calibri" w:cs="Cordia New"/>
          <w:lang w:val="en-GB"/>
        </w:rPr>
        <w:t xml:space="preserve">a “pass” in the </w:t>
      </w:r>
      <w:r w:rsidRPr="00150870">
        <w:rPr>
          <w:rFonts w:ascii="Calibri" w:eastAsia="Times New Roman" w:hAnsi="Calibri" w:cs="Cordia New"/>
          <w:lang w:val="en-GB"/>
        </w:rPr>
        <w:t>scoring guideposts</w:t>
      </w:r>
    </w:p>
    <w:p w:rsidR="00150870" w:rsidRDefault="00150870" w:rsidP="00150870">
      <w:pPr>
        <w:pStyle w:val="ListParagraph"/>
        <w:numPr>
          <w:ilvl w:val="0"/>
          <w:numId w:val="6"/>
        </w:numPr>
        <w:spacing w:after="120" w:line="240" w:lineRule="auto"/>
        <w:jc w:val="both"/>
        <w:rPr>
          <w:rFonts w:ascii="Calibri" w:eastAsia="Times New Roman" w:hAnsi="Calibri" w:cs="Cordia New"/>
          <w:lang w:val="en-GB"/>
        </w:rPr>
      </w:pPr>
      <w:r>
        <w:rPr>
          <w:rFonts w:ascii="Calibri" w:eastAsia="Times New Roman" w:hAnsi="Calibri" w:cs="Cordia New"/>
          <w:lang w:val="en-GB"/>
        </w:rPr>
        <w:t>Determine roles and  r</w:t>
      </w:r>
      <w:r w:rsidRPr="00150870">
        <w:rPr>
          <w:rFonts w:ascii="Calibri" w:eastAsia="Times New Roman" w:hAnsi="Calibri" w:cs="Cordia New"/>
          <w:lang w:val="en-GB"/>
        </w:rPr>
        <w:t>esponsibilities of partners in relation to activities and tasks</w:t>
      </w:r>
    </w:p>
    <w:p w:rsidR="00150870" w:rsidRDefault="00150870" w:rsidP="00150870">
      <w:pPr>
        <w:pStyle w:val="ListParagraph"/>
        <w:numPr>
          <w:ilvl w:val="0"/>
          <w:numId w:val="6"/>
        </w:numPr>
        <w:spacing w:after="120" w:line="240" w:lineRule="auto"/>
        <w:jc w:val="both"/>
        <w:rPr>
          <w:rFonts w:ascii="Calibri" w:eastAsia="Times New Roman" w:hAnsi="Calibri" w:cs="Cordia New"/>
          <w:lang w:val="en-GB"/>
        </w:rPr>
      </w:pPr>
      <w:r>
        <w:rPr>
          <w:rFonts w:ascii="Calibri" w:eastAsia="Times New Roman" w:hAnsi="Calibri" w:cs="Cordia New"/>
          <w:lang w:val="en-GB"/>
        </w:rPr>
        <w:t>Identify and agree upon a t</w:t>
      </w:r>
      <w:r w:rsidRPr="00150870">
        <w:rPr>
          <w:rFonts w:ascii="Calibri" w:eastAsia="Times New Roman" w:hAnsi="Calibri" w:cs="Cordia New"/>
          <w:lang w:val="en-GB"/>
        </w:rPr>
        <w:t>imeframe for each activity</w:t>
      </w:r>
      <w:r>
        <w:rPr>
          <w:rFonts w:ascii="Calibri" w:eastAsia="Times New Roman" w:hAnsi="Calibri" w:cs="Cordia New"/>
          <w:lang w:val="en-GB"/>
        </w:rPr>
        <w:t xml:space="preserve">, lead/supporting roles, </w:t>
      </w:r>
      <w:r w:rsidRPr="00150870">
        <w:rPr>
          <w:rFonts w:ascii="Calibri" w:eastAsia="Times New Roman" w:hAnsi="Calibri" w:cs="Cordia New"/>
          <w:lang w:val="en-GB"/>
        </w:rPr>
        <w:t>and also for duration of project</w:t>
      </w:r>
    </w:p>
    <w:p w:rsidR="00150870" w:rsidRPr="00150870" w:rsidRDefault="00150870" w:rsidP="00150870">
      <w:pPr>
        <w:pStyle w:val="ListParagraph"/>
        <w:numPr>
          <w:ilvl w:val="0"/>
          <w:numId w:val="6"/>
        </w:numPr>
        <w:spacing w:after="120" w:line="240" w:lineRule="auto"/>
        <w:jc w:val="both"/>
        <w:rPr>
          <w:rFonts w:ascii="Calibri" w:eastAsia="Times New Roman" w:hAnsi="Calibri" w:cs="Cordia New"/>
          <w:lang w:val="en-GB"/>
        </w:rPr>
      </w:pPr>
      <w:r>
        <w:rPr>
          <w:rFonts w:ascii="Calibri" w:eastAsia="Times New Roman" w:hAnsi="Calibri" w:cs="Cordia New"/>
          <w:lang w:val="en-GB"/>
        </w:rPr>
        <w:t>Detail the costs and f</w:t>
      </w:r>
      <w:r w:rsidRPr="00150870">
        <w:rPr>
          <w:rFonts w:ascii="Calibri" w:eastAsia="Times New Roman" w:hAnsi="Calibri" w:cs="Cordia New"/>
          <w:lang w:val="en-GB"/>
        </w:rPr>
        <w:t xml:space="preserve">unding </w:t>
      </w:r>
      <w:r>
        <w:rPr>
          <w:rFonts w:ascii="Calibri" w:eastAsia="Times New Roman" w:hAnsi="Calibri" w:cs="Cordia New"/>
          <w:lang w:val="en-GB"/>
        </w:rPr>
        <w:t xml:space="preserve">needs </w:t>
      </w:r>
      <w:r w:rsidRPr="00150870">
        <w:rPr>
          <w:rFonts w:ascii="Calibri" w:eastAsia="Times New Roman" w:hAnsi="Calibri" w:cs="Cordia New"/>
          <w:lang w:val="en-GB"/>
        </w:rPr>
        <w:t>associated with each activity</w:t>
      </w:r>
    </w:p>
    <w:p w:rsidR="00150870" w:rsidRPr="00150870" w:rsidRDefault="00150870" w:rsidP="00150870">
      <w:pPr>
        <w:spacing w:after="120" w:line="240" w:lineRule="auto"/>
        <w:jc w:val="both"/>
        <w:rPr>
          <w:rFonts w:ascii="Calibri" w:eastAsia="Times New Roman" w:hAnsi="Calibri" w:cs="Cordia New"/>
          <w:lang w:val="en-GB"/>
        </w:rPr>
      </w:pPr>
    </w:p>
    <w:p w:rsidR="00150870" w:rsidRPr="00150870" w:rsidRDefault="00150870" w:rsidP="00150870">
      <w:pPr>
        <w:spacing w:after="120" w:line="240" w:lineRule="auto"/>
        <w:jc w:val="both"/>
        <w:rPr>
          <w:rFonts w:ascii="Calibri" w:eastAsia="Times New Roman" w:hAnsi="Calibri" w:cs="Cordia New"/>
          <w:lang w:val="en-GB"/>
        </w:rPr>
      </w:pPr>
      <w:r w:rsidRPr="00150870">
        <w:rPr>
          <w:rFonts w:ascii="Calibri" w:eastAsia="Times New Roman" w:hAnsi="Calibri" w:cs="Cordia New"/>
          <w:lang w:val="en-GB"/>
        </w:rPr>
        <w:t>At the workshop stakeholders consider the practicality of the recommendations and refine the</w:t>
      </w:r>
      <w:r>
        <w:rPr>
          <w:rFonts w:ascii="Calibri" w:eastAsia="Times New Roman" w:hAnsi="Calibri" w:cs="Cordia New"/>
          <w:lang w:val="en-GB"/>
        </w:rPr>
        <w:t xml:space="preserve">se to suit local conditions.  Stakeholders </w:t>
      </w:r>
      <w:r w:rsidRPr="00150870">
        <w:rPr>
          <w:rFonts w:ascii="Calibri" w:eastAsia="Times New Roman" w:hAnsi="Calibri" w:cs="Cordia New"/>
          <w:lang w:val="en-GB"/>
        </w:rPr>
        <w:t>consider th</w:t>
      </w:r>
      <w:r>
        <w:rPr>
          <w:rFonts w:ascii="Calibri" w:eastAsia="Times New Roman" w:hAnsi="Calibri" w:cs="Cordia New"/>
          <w:lang w:val="en-GB"/>
        </w:rPr>
        <w:t>e priority of different actions and determine who</w:t>
      </w:r>
      <w:r w:rsidRPr="00150870">
        <w:rPr>
          <w:rFonts w:ascii="Calibri" w:eastAsia="Times New Roman" w:hAnsi="Calibri" w:cs="Cordia New"/>
          <w:lang w:val="en-GB"/>
        </w:rPr>
        <w:t xml:space="preserve"> will be </w:t>
      </w:r>
      <w:r>
        <w:rPr>
          <w:rFonts w:ascii="Calibri" w:eastAsia="Times New Roman" w:hAnsi="Calibri" w:cs="Cordia New"/>
          <w:lang w:val="en-GB"/>
        </w:rPr>
        <w:t>responsible for what as well as s</w:t>
      </w:r>
      <w:r w:rsidRPr="00150870">
        <w:rPr>
          <w:rFonts w:ascii="Calibri" w:eastAsia="Times New Roman" w:hAnsi="Calibri" w:cs="Cordia New"/>
          <w:lang w:val="en-GB"/>
        </w:rPr>
        <w:t>et out the appropriate timelines. The timelines are mostly within year 1 and 2, with some activit</w:t>
      </w:r>
      <w:r>
        <w:rPr>
          <w:rFonts w:ascii="Calibri" w:eastAsia="Times New Roman" w:hAnsi="Calibri" w:cs="Cordia New"/>
          <w:lang w:val="en-GB"/>
        </w:rPr>
        <w:t>ies such as review of mitigation strat</w:t>
      </w:r>
      <w:r w:rsidRPr="00150870">
        <w:rPr>
          <w:rFonts w:ascii="Calibri" w:eastAsia="Times New Roman" w:hAnsi="Calibri" w:cs="Cordia New"/>
          <w:lang w:val="en-GB"/>
        </w:rPr>
        <w:t>e</w:t>
      </w:r>
      <w:r>
        <w:rPr>
          <w:rFonts w:ascii="Calibri" w:eastAsia="Times New Roman" w:hAnsi="Calibri" w:cs="Cordia New"/>
          <w:lang w:val="en-GB"/>
        </w:rPr>
        <w:t>g</w:t>
      </w:r>
      <w:r w:rsidRPr="00150870">
        <w:rPr>
          <w:rFonts w:ascii="Calibri" w:eastAsia="Times New Roman" w:hAnsi="Calibri" w:cs="Cordia New"/>
          <w:lang w:val="en-GB"/>
        </w:rPr>
        <w:t>ies for year 3 and beyond</w:t>
      </w:r>
    </w:p>
    <w:p w:rsidR="00150870" w:rsidRDefault="00150870" w:rsidP="00150870">
      <w:pPr>
        <w:pStyle w:val="ListParagraph"/>
        <w:spacing w:after="120" w:line="240" w:lineRule="auto"/>
        <w:ind w:left="1080"/>
        <w:jc w:val="both"/>
        <w:rPr>
          <w:rFonts w:ascii="Calibri" w:eastAsia="Times New Roman" w:hAnsi="Calibri" w:cs="Cordia New"/>
          <w:lang w:val="en-GB"/>
        </w:rPr>
      </w:pPr>
    </w:p>
    <w:p w:rsidR="002151B1" w:rsidRDefault="00150870" w:rsidP="001A597E">
      <w:pPr>
        <w:pStyle w:val="ListParagraph"/>
        <w:numPr>
          <w:ilvl w:val="0"/>
          <w:numId w:val="4"/>
        </w:numPr>
        <w:spacing w:after="120" w:line="240" w:lineRule="auto"/>
        <w:jc w:val="both"/>
        <w:rPr>
          <w:rFonts w:ascii="Calibri" w:eastAsia="Times New Roman" w:hAnsi="Calibri" w:cs="Cordia New"/>
          <w:lang w:val="en-GB"/>
        </w:rPr>
      </w:pPr>
      <w:r>
        <w:rPr>
          <w:rFonts w:ascii="Calibri" w:eastAsia="Times New Roman" w:hAnsi="Calibri" w:cs="Cordia New"/>
          <w:lang w:val="en-GB"/>
        </w:rPr>
        <w:t>FIP Implementation</w:t>
      </w:r>
    </w:p>
    <w:p w:rsidR="00150870" w:rsidRPr="00150870" w:rsidRDefault="00150870" w:rsidP="00150870">
      <w:pPr>
        <w:spacing w:after="120" w:line="240" w:lineRule="auto"/>
        <w:jc w:val="both"/>
        <w:rPr>
          <w:rFonts w:ascii="Calibri" w:eastAsia="Times New Roman" w:hAnsi="Calibri" w:cs="Cordia New"/>
          <w:lang w:val="en-GB"/>
        </w:rPr>
      </w:pPr>
    </w:p>
    <w:p w:rsidR="007C42C4" w:rsidRDefault="00877E6E" w:rsidP="00150870">
      <w:pPr>
        <w:rPr>
          <w:rFonts w:ascii="Calibri" w:eastAsia="Times New Roman" w:hAnsi="Calibri" w:cs="Cordia New"/>
          <w:lang w:val="en-GB"/>
        </w:rPr>
      </w:pPr>
      <w:r>
        <w:rPr>
          <w:rFonts w:ascii="Calibri" w:eastAsia="Times New Roman" w:hAnsi="Calibri" w:cs="Cordia New"/>
          <w:lang w:val="en-GB"/>
        </w:rPr>
        <w:t>Implementation of the FIP, and the first follow-up from the stakeholder meetings, typically involves:</w:t>
      </w:r>
    </w:p>
    <w:p w:rsidR="00877E6E" w:rsidRDefault="00877E6E" w:rsidP="00877E6E">
      <w:pPr>
        <w:pStyle w:val="ListParagraph"/>
        <w:numPr>
          <w:ilvl w:val="0"/>
          <w:numId w:val="7"/>
        </w:numPr>
        <w:rPr>
          <w:rFonts w:ascii="Calibri" w:eastAsia="Times New Roman" w:hAnsi="Calibri" w:cs="Cordia New"/>
          <w:lang w:val="en-GB"/>
        </w:rPr>
      </w:pPr>
      <w:r>
        <w:rPr>
          <w:rFonts w:ascii="Calibri" w:eastAsia="Times New Roman" w:hAnsi="Calibri" w:cs="Cordia New"/>
          <w:lang w:val="en-GB"/>
        </w:rPr>
        <w:t>Revision of</w:t>
      </w:r>
      <w:r w:rsidRPr="00877E6E">
        <w:rPr>
          <w:rFonts w:ascii="Calibri" w:eastAsia="Times New Roman" w:hAnsi="Calibri" w:cs="Cordia New"/>
          <w:lang w:val="en-GB"/>
        </w:rPr>
        <w:t xml:space="preserve"> </w:t>
      </w:r>
      <w:r>
        <w:rPr>
          <w:rFonts w:ascii="Calibri" w:eastAsia="Times New Roman" w:hAnsi="Calibri" w:cs="Cordia New"/>
          <w:lang w:val="en-GB"/>
        </w:rPr>
        <w:t>draft workplan with stakeholder</w:t>
      </w:r>
    </w:p>
    <w:p w:rsidR="00877E6E" w:rsidRDefault="00877E6E" w:rsidP="00877E6E">
      <w:pPr>
        <w:pStyle w:val="ListParagraph"/>
        <w:numPr>
          <w:ilvl w:val="0"/>
          <w:numId w:val="7"/>
        </w:numPr>
        <w:rPr>
          <w:rFonts w:ascii="Calibri" w:eastAsia="Times New Roman" w:hAnsi="Calibri" w:cs="Cordia New"/>
          <w:lang w:val="en-GB"/>
        </w:rPr>
      </w:pPr>
      <w:r>
        <w:rPr>
          <w:rFonts w:ascii="Calibri" w:eastAsia="Times New Roman" w:hAnsi="Calibri" w:cs="Cordia New"/>
          <w:lang w:val="en-GB"/>
        </w:rPr>
        <w:t>Linking</w:t>
      </w:r>
      <w:r w:rsidRPr="00877E6E">
        <w:rPr>
          <w:rFonts w:ascii="Calibri" w:eastAsia="Times New Roman" w:hAnsi="Calibri" w:cs="Cordia New"/>
          <w:lang w:val="en-GB"/>
        </w:rPr>
        <w:t xml:space="preserve"> each activity in the workplan to specific performance indicators</w:t>
      </w:r>
    </w:p>
    <w:p w:rsidR="00877E6E" w:rsidRPr="00877E6E" w:rsidRDefault="00877E6E" w:rsidP="00877E6E">
      <w:pPr>
        <w:pStyle w:val="ListParagraph"/>
        <w:numPr>
          <w:ilvl w:val="0"/>
          <w:numId w:val="7"/>
        </w:numPr>
        <w:rPr>
          <w:rFonts w:ascii="Calibri" w:eastAsia="Times New Roman" w:hAnsi="Calibri" w:cs="Cordia New"/>
          <w:lang w:val="en-GB"/>
        </w:rPr>
      </w:pPr>
      <w:r w:rsidRPr="00877E6E">
        <w:rPr>
          <w:rFonts w:ascii="Calibri" w:eastAsia="Times New Roman" w:hAnsi="Calibri" w:cs="Cordia New"/>
          <w:lang w:val="en-GB"/>
        </w:rPr>
        <w:t xml:space="preserve"> </w:t>
      </w:r>
      <w:r>
        <w:rPr>
          <w:rFonts w:ascii="Calibri" w:eastAsia="Times New Roman" w:hAnsi="Calibri" w:cs="Cordia New"/>
          <w:lang w:val="en-GB"/>
        </w:rPr>
        <w:t>Writing an</w:t>
      </w:r>
      <w:r w:rsidRPr="00877E6E">
        <w:rPr>
          <w:rFonts w:ascii="Calibri" w:eastAsia="Times New Roman" w:hAnsi="Calibri" w:cs="Cordia New"/>
          <w:lang w:val="en-GB"/>
        </w:rPr>
        <w:t xml:space="preserve"> “action plan” based on discussion/activities from stakeholder meeting</w:t>
      </w:r>
    </w:p>
    <w:p w:rsidR="00877E6E" w:rsidRPr="006817E6" w:rsidRDefault="00877E6E" w:rsidP="00150870">
      <w:pPr>
        <w:rPr>
          <w:rFonts w:ascii="Calibri" w:eastAsia="Times New Roman" w:hAnsi="Calibri" w:cs="Cordia New"/>
          <w:b/>
          <w:sz w:val="20"/>
          <w:szCs w:val="20"/>
          <w:lang w:val="en-GB"/>
        </w:rPr>
      </w:pPr>
      <w:r w:rsidRPr="006817E6">
        <w:rPr>
          <w:rFonts w:ascii="Calibri" w:eastAsia="Times New Roman" w:hAnsi="Calibri" w:cs="Cordia New"/>
          <w:b/>
          <w:sz w:val="20"/>
          <w:szCs w:val="20"/>
          <w:lang w:val="en-GB"/>
        </w:rPr>
        <w:t>Figure 3 –</w:t>
      </w:r>
      <w:r w:rsidR="006817E6">
        <w:rPr>
          <w:rFonts w:ascii="Calibri" w:eastAsia="Times New Roman" w:hAnsi="Calibri" w:cs="Cordia New"/>
          <w:b/>
          <w:sz w:val="20"/>
          <w:szCs w:val="20"/>
          <w:lang w:val="en-GB"/>
        </w:rPr>
        <w:t xml:space="preserve"> Portion of a h</w:t>
      </w:r>
      <w:r w:rsidRPr="006817E6">
        <w:rPr>
          <w:rFonts w:ascii="Calibri" w:eastAsia="Times New Roman" w:hAnsi="Calibri" w:cs="Cordia New"/>
          <w:b/>
          <w:sz w:val="20"/>
          <w:szCs w:val="20"/>
          <w:lang w:val="en-GB"/>
        </w:rPr>
        <w:t>ypothetical FIP Action Plan</w:t>
      </w:r>
    </w:p>
    <w:p w:rsidR="00877E6E" w:rsidRDefault="00877E6E" w:rsidP="00150870">
      <w:pPr>
        <w:rPr>
          <w:rFonts w:ascii="Calibri" w:eastAsia="Times New Roman" w:hAnsi="Calibri" w:cs="Cordia New"/>
          <w:lang w:val="en-GB"/>
        </w:rPr>
      </w:pPr>
      <w:r>
        <w:rPr>
          <w:rFonts w:ascii="Calibri" w:eastAsia="Times New Roman" w:hAnsi="Calibri" w:cs="Cordia New"/>
          <w:noProof/>
        </w:rPr>
        <w:drawing>
          <wp:inline distT="0" distB="0" distL="0" distR="0" wp14:anchorId="083172F7">
            <wp:extent cx="4606506" cy="2568068"/>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7719" cy="2574319"/>
                    </a:xfrm>
                    <a:prstGeom prst="rect">
                      <a:avLst/>
                    </a:prstGeom>
                    <a:noFill/>
                  </pic:spPr>
                </pic:pic>
              </a:graphicData>
            </a:graphic>
          </wp:inline>
        </w:drawing>
      </w:r>
    </w:p>
    <w:p w:rsidR="006817E6" w:rsidRDefault="006817E6" w:rsidP="006817E6">
      <w:pPr>
        <w:rPr>
          <w:rFonts w:ascii="Calibri" w:eastAsia="Times New Roman" w:hAnsi="Calibri" w:cs="Cordia New"/>
          <w:lang w:val="en-GB"/>
        </w:rPr>
      </w:pPr>
      <w:r w:rsidRPr="006817E6">
        <w:rPr>
          <w:rFonts w:ascii="Calibri" w:eastAsia="Times New Roman" w:hAnsi="Calibri" w:cs="Cordia New"/>
          <w:lang w:val="en-GB"/>
        </w:rPr>
        <w:t>Based on the actions agreed as part of the stakeholder workshop, t</w:t>
      </w:r>
      <w:r>
        <w:rPr>
          <w:rFonts w:ascii="Calibri" w:eastAsia="Times New Roman" w:hAnsi="Calibri" w:cs="Cordia New"/>
          <w:lang w:val="en-GB"/>
        </w:rPr>
        <w:t xml:space="preserve">he assessor </w:t>
      </w:r>
      <w:r w:rsidRPr="006817E6">
        <w:rPr>
          <w:rFonts w:ascii="Calibri" w:eastAsia="Times New Roman" w:hAnsi="Calibri" w:cs="Cordia New"/>
          <w:lang w:val="en-GB"/>
        </w:rPr>
        <w:t>is then in a posi</w:t>
      </w:r>
      <w:r>
        <w:rPr>
          <w:rFonts w:ascii="Calibri" w:eastAsia="Times New Roman" w:hAnsi="Calibri" w:cs="Cordia New"/>
          <w:lang w:val="en-GB"/>
        </w:rPr>
        <w:t xml:space="preserve">tion to build on these actions (it is at this stage that these actions may be formally developed as a Fishery management Plan, or formally linked into existing formal FMPs).  </w:t>
      </w:r>
    </w:p>
    <w:p w:rsidR="006817E6" w:rsidRPr="006817E6" w:rsidRDefault="006817E6" w:rsidP="006817E6">
      <w:pPr>
        <w:rPr>
          <w:rFonts w:ascii="Calibri" w:eastAsia="Times New Roman" w:hAnsi="Calibri" w:cs="Cordia New"/>
          <w:lang w:val="en-GB"/>
        </w:rPr>
      </w:pPr>
      <w:r>
        <w:rPr>
          <w:rFonts w:ascii="Calibri" w:eastAsia="Times New Roman" w:hAnsi="Calibri" w:cs="Cordia New"/>
          <w:lang w:val="en-GB"/>
        </w:rPr>
        <w:t xml:space="preserve">The critical issue is that the FIP Action Plan and any associated logframe </w:t>
      </w:r>
      <w:r w:rsidRPr="006817E6">
        <w:rPr>
          <w:rFonts w:ascii="Calibri" w:eastAsia="Times New Roman" w:hAnsi="Calibri" w:cs="Cordia New"/>
          <w:lang w:val="en-GB"/>
        </w:rPr>
        <w:t>clearly and logically links objectives, outcomes, outputs, activities, roles, responsibilities, ind</w:t>
      </w:r>
      <w:r>
        <w:rPr>
          <w:rFonts w:ascii="Calibri" w:eastAsia="Times New Roman" w:hAnsi="Calibri" w:cs="Cordia New"/>
          <w:lang w:val="en-GB"/>
        </w:rPr>
        <w:t>icators and verification means.</w:t>
      </w:r>
    </w:p>
    <w:p w:rsidR="006817E6" w:rsidRPr="006817E6" w:rsidRDefault="006817E6" w:rsidP="006817E6">
      <w:pPr>
        <w:rPr>
          <w:rFonts w:ascii="Calibri" w:eastAsia="Times New Roman" w:hAnsi="Calibri" w:cs="Cordia New"/>
          <w:lang w:val="en-GB"/>
        </w:rPr>
      </w:pPr>
      <w:r>
        <w:rPr>
          <w:rFonts w:ascii="Calibri" w:eastAsia="Times New Roman" w:hAnsi="Calibri" w:cs="Cordia New"/>
          <w:lang w:val="en-GB"/>
        </w:rPr>
        <w:t xml:space="preserve">Implementation of the FIP Action Plan may be structured </w:t>
      </w:r>
      <w:r w:rsidRPr="006817E6">
        <w:rPr>
          <w:rFonts w:ascii="Calibri" w:eastAsia="Times New Roman" w:hAnsi="Calibri" w:cs="Cordia New"/>
          <w:lang w:val="en-GB"/>
        </w:rPr>
        <w:t>around the three MSC Principles, but with additional goals, outcomes and activities added, particularly those linked to social</w:t>
      </w:r>
      <w:r>
        <w:rPr>
          <w:rFonts w:ascii="Calibri" w:eastAsia="Times New Roman" w:hAnsi="Calibri" w:cs="Cordia New"/>
          <w:lang w:val="en-GB"/>
        </w:rPr>
        <w:t xml:space="preserve"> and economic goals (for example, it could be linked to establishing l</w:t>
      </w:r>
      <w:r w:rsidRPr="006817E6">
        <w:rPr>
          <w:rFonts w:ascii="Calibri" w:eastAsia="Times New Roman" w:hAnsi="Calibri" w:cs="Cordia New"/>
          <w:lang w:val="en-GB"/>
        </w:rPr>
        <w:t>ocal fishing organizations).</w:t>
      </w:r>
    </w:p>
    <w:p w:rsidR="006817E6" w:rsidRDefault="006817E6" w:rsidP="006817E6">
      <w:pPr>
        <w:rPr>
          <w:rFonts w:ascii="Calibri" w:eastAsia="Times New Roman" w:hAnsi="Calibri" w:cs="Cordia New"/>
          <w:lang w:val="en-GB"/>
        </w:rPr>
      </w:pPr>
      <w:r>
        <w:rPr>
          <w:rFonts w:ascii="Calibri" w:eastAsia="Times New Roman" w:hAnsi="Calibri" w:cs="Cordia New"/>
          <w:lang w:val="en-GB"/>
        </w:rPr>
        <w:t xml:space="preserve">Planning for </w:t>
      </w:r>
      <w:r w:rsidRPr="006817E6">
        <w:rPr>
          <w:rFonts w:ascii="Calibri" w:eastAsia="Times New Roman" w:hAnsi="Calibri" w:cs="Cordia New"/>
          <w:lang w:val="en-GB"/>
        </w:rPr>
        <w:t>Action Plan</w:t>
      </w:r>
      <w:r>
        <w:rPr>
          <w:rFonts w:ascii="Calibri" w:eastAsia="Times New Roman" w:hAnsi="Calibri" w:cs="Cordia New"/>
          <w:lang w:val="en-GB"/>
        </w:rPr>
        <w:t xml:space="preserve"> / FMP</w:t>
      </w:r>
      <w:r w:rsidRPr="006817E6">
        <w:rPr>
          <w:rFonts w:ascii="Calibri" w:eastAsia="Times New Roman" w:hAnsi="Calibri" w:cs="Cordia New"/>
          <w:lang w:val="en-GB"/>
        </w:rPr>
        <w:t xml:space="preserve"> implementation</w:t>
      </w:r>
      <w:r>
        <w:rPr>
          <w:rFonts w:ascii="Calibri" w:eastAsia="Times New Roman" w:hAnsi="Calibri" w:cs="Cordia New"/>
          <w:lang w:val="en-GB"/>
        </w:rPr>
        <w:t xml:space="preserve"> also includes, quite importantly, the appointment of a local coordinator, the mobilization of budgets and the preparation of</w:t>
      </w:r>
      <w:r w:rsidRPr="006817E6">
        <w:rPr>
          <w:rFonts w:ascii="Calibri" w:eastAsia="Times New Roman" w:hAnsi="Calibri" w:cs="Cordia New"/>
          <w:lang w:val="en-GB"/>
        </w:rPr>
        <w:t xml:space="preserve"> clear ToRs for specific stakeholders</w:t>
      </w:r>
      <w:r>
        <w:rPr>
          <w:rFonts w:ascii="Calibri" w:eastAsia="Times New Roman" w:hAnsi="Calibri" w:cs="Cordia New"/>
          <w:lang w:val="en-GB"/>
        </w:rPr>
        <w:t>.</w:t>
      </w:r>
    </w:p>
    <w:p w:rsidR="00877E6E" w:rsidRDefault="006817E6" w:rsidP="00150870">
      <w:pPr>
        <w:rPr>
          <w:rFonts w:ascii="Calibri" w:eastAsia="Times New Roman" w:hAnsi="Calibri" w:cs="Cordia New"/>
          <w:lang w:val="en-GB"/>
        </w:rPr>
      </w:pPr>
      <w:r>
        <w:rPr>
          <w:rFonts w:ascii="Calibri" w:eastAsia="Times New Roman" w:hAnsi="Calibri" w:cs="Cordia New"/>
          <w:lang w:val="en-GB"/>
        </w:rPr>
        <w:t>It is expected that once the Action Plan / FMP is completed and budgets and resources mobilized, that the FIP will continue for three to five years, with MSC Full Assessment as the end point of the FIP.</w:t>
      </w:r>
    </w:p>
    <w:p w:rsidR="006817E6" w:rsidRPr="006817E6" w:rsidRDefault="006817E6" w:rsidP="00150870">
      <w:pPr>
        <w:rPr>
          <w:rFonts w:ascii="Calibri" w:eastAsia="Times New Roman" w:hAnsi="Calibri" w:cs="Cordia New"/>
          <w:lang w:val="en-GB"/>
        </w:rPr>
      </w:pPr>
    </w:p>
    <w:p w:rsidR="0076474B" w:rsidRDefault="0076474B" w:rsidP="003F2260">
      <w:pPr>
        <w:pStyle w:val="ListParagraph"/>
        <w:numPr>
          <w:ilvl w:val="0"/>
          <w:numId w:val="2"/>
        </w:numPr>
        <w:rPr>
          <w:b/>
        </w:rPr>
      </w:pPr>
      <w:r>
        <w:rPr>
          <w:b/>
        </w:rPr>
        <w:lastRenderedPageBreak/>
        <w:t>Vietnam Roadmap: calendar and timelines</w:t>
      </w:r>
    </w:p>
    <w:p w:rsidR="006817E6" w:rsidRDefault="00503E97" w:rsidP="006817E6">
      <w:r>
        <w:t>Based on the initial inception meeting and follow-up discussions, the following calendar is suggested for next steps in the FIP, up to and including the Stakeholders Workshop:</w:t>
      </w:r>
    </w:p>
    <w:p w:rsidR="00503E97" w:rsidRDefault="00503E97" w:rsidP="006817E6"/>
    <w:tbl>
      <w:tblPr>
        <w:tblStyle w:val="TableGrid"/>
        <w:tblW w:w="9648" w:type="dxa"/>
        <w:tblLook w:val="04A0" w:firstRow="1" w:lastRow="0" w:firstColumn="1" w:lastColumn="0" w:noHBand="0" w:noVBand="1"/>
      </w:tblPr>
      <w:tblGrid>
        <w:gridCol w:w="2394"/>
        <w:gridCol w:w="2394"/>
        <w:gridCol w:w="4860"/>
      </w:tblGrid>
      <w:tr w:rsidR="00503E97" w:rsidTr="00503E97">
        <w:tc>
          <w:tcPr>
            <w:tcW w:w="2394" w:type="dxa"/>
          </w:tcPr>
          <w:p w:rsidR="00503E97" w:rsidRDefault="00503E97" w:rsidP="006817E6">
            <w:r>
              <w:t>Component/Activity</w:t>
            </w:r>
          </w:p>
        </w:tc>
        <w:tc>
          <w:tcPr>
            <w:tcW w:w="2394" w:type="dxa"/>
          </w:tcPr>
          <w:p w:rsidR="00503E97" w:rsidRDefault="00503E97" w:rsidP="006817E6">
            <w:r>
              <w:t>Timeline</w:t>
            </w:r>
          </w:p>
        </w:tc>
        <w:tc>
          <w:tcPr>
            <w:tcW w:w="4860" w:type="dxa"/>
          </w:tcPr>
          <w:p w:rsidR="00503E97" w:rsidRDefault="00503E97" w:rsidP="006817E6">
            <w:r>
              <w:t>Notes</w:t>
            </w:r>
          </w:p>
        </w:tc>
      </w:tr>
      <w:tr w:rsidR="00503E97" w:rsidTr="00503E97">
        <w:tc>
          <w:tcPr>
            <w:tcW w:w="2394" w:type="dxa"/>
          </w:tcPr>
          <w:p w:rsidR="00503E97" w:rsidRDefault="00503E97" w:rsidP="006817E6">
            <w:r>
              <w:t>Stakeholder pre-consultations</w:t>
            </w:r>
          </w:p>
        </w:tc>
        <w:tc>
          <w:tcPr>
            <w:tcW w:w="2394" w:type="dxa"/>
          </w:tcPr>
          <w:p w:rsidR="00503E97" w:rsidRDefault="00503E97" w:rsidP="006817E6">
            <w:r>
              <w:t>Oct 22 – Nov 12 2012</w:t>
            </w:r>
          </w:p>
        </w:tc>
        <w:tc>
          <w:tcPr>
            <w:tcW w:w="4860" w:type="dxa"/>
          </w:tcPr>
          <w:p w:rsidR="00503E97" w:rsidRDefault="00503E97" w:rsidP="006817E6">
            <w:r>
              <w:t xml:space="preserve">Receive feedback on </w:t>
            </w:r>
            <w:r w:rsidR="00173775">
              <w:t xml:space="preserve">emailed list of </w:t>
            </w:r>
            <w:r>
              <w:t>consultation questions (e.g. Unit of Assessment; client group; other stakeholders to be involved; available financial and In Kind resources</w:t>
            </w:r>
            <w:r w:rsidR="00173775">
              <w:t xml:space="preserve">; separate MOUs for industry and govt? </w:t>
            </w:r>
            <w:r>
              <w:t>etc.)</w:t>
            </w:r>
          </w:p>
          <w:p w:rsidR="00503E97" w:rsidRDefault="00503E97" w:rsidP="006817E6"/>
          <w:p w:rsidR="00503E97" w:rsidRDefault="00503E97" w:rsidP="006817E6">
            <w:r>
              <w:t>Confirmation of buy-in and support</w:t>
            </w:r>
          </w:p>
          <w:p w:rsidR="00503E97" w:rsidRDefault="00503E97" w:rsidP="006817E6"/>
          <w:p w:rsidR="00503E97" w:rsidRDefault="00173775" w:rsidP="006817E6">
            <w:r>
              <w:t xml:space="preserve">Draft </w:t>
            </w:r>
            <w:r w:rsidR="00503E97">
              <w:t>MOU</w:t>
            </w:r>
            <w:r>
              <w:t>(s)</w:t>
            </w:r>
            <w:r w:rsidR="00503E97">
              <w:t xml:space="preserve"> and communication protocols for the FIP</w:t>
            </w:r>
          </w:p>
          <w:p w:rsidR="00503E97" w:rsidRDefault="00503E97" w:rsidP="006817E6"/>
          <w:p w:rsidR="00503E97" w:rsidRDefault="00503E97" w:rsidP="006817E6">
            <w:r>
              <w:t>(above led by WWF)</w:t>
            </w:r>
          </w:p>
          <w:p w:rsidR="00503E97" w:rsidRDefault="00503E97" w:rsidP="006817E6"/>
        </w:tc>
      </w:tr>
      <w:tr w:rsidR="00503E97" w:rsidTr="00503E97">
        <w:tc>
          <w:tcPr>
            <w:tcW w:w="2394" w:type="dxa"/>
          </w:tcPr>
          <w:p w:rsidR="00503E97" w:rsidRDefault="00503E97" w:rsidP="006817E6">
            <w:r>
              <w:t>Pre-assessment</w:t>
            </w:r>
          </w:p>
        </w:tc>
        <w:tc>
          <w:tcPr>
            <w:tcW w:w="2394" w:type="dxa"/>
          </w:tcPr>
          <w:p w:rsidR="00503E97" w:rsidRDefault="00503E97" w:rsidP="006817E6">
            <w:r>
              <w:t>Dec 2012</w:t>
            </w:r>
          </w:p>
        </w:tc>
        <w:tc>
          <w:tcPr>
            <w:tcW w:w="4860" w:type="dxa"/>
          </w:tcPr>
          <w:p w:rsidR="00503E97" w:rsidRDefault="00503E97" w:rsidP="006817E6">
            <w:r>
              <w:t>Conducted by independent assessors (Richard banks and Tony Lewis) including in-country meetings and data collection, enabled through cooperation with FIP</w:t>
            </w:r>
          </w:p>
          <w:p w:rsidR="00503E97" w:rsidRDefault="00503E97" w:rsidP="006817E6">
            <w:r>
              <w:t xml:space="preserve">  </w:t>
            </w:r>
          </w:p>
        </w:tc>
      </w:tr>
      <w:tr w:rsidR="00503E97" w:rsidTr="00503E97">
        <w:tc>
          <w:tcPr>
            <w:tcW w:w="2394" w:type="dxa"/>
          </w:tcPr>
          <w:p w:rsidR="00503E97" w:rsidRDefault="00503E97" w:rsidP="006817E6">
            <w:r>
              <w:t>Circulation of pre-assessment for feedback</w:t>
            </w:r>
          </w:p>
        </w:tc>
        <w:tc>
          <w:tcPr>
            <w:tcW w:w="2394" w:type="dxa"/>
          </w:tcPr>
          <w:p w:rsidR="00503E97" w:rsidRDefault="00503E97" w:rsidP="006817E6">
            <w:r>
              <w:t>Jan</w:t>
            </w:r>
            <w:r w:rsidR="00173775">
              <w:t xml:space="preserve"> to mid-Feb. </w:t>
            </w:r>
            <w:r>
              <w:t xml:space="preserve"> 2013</w:t>
            </w:r>
          </w:p>
        </w:tc>
        <w:tc>
          <w:tcPr>
            <w:tcW w:w="4860" w:type="dxa"/>
          </w:tcPr>
          <w:p w:rsidR="00503E97" w:rsidRDefault="00503E97" w:rsidP="006817E6">
            <w:r>
              <w:t>Translation and circulation of PA for comments</w:t>
            </w:r>
          </w:p>
          <w:p w:rsidR="00173775" w:rsidRDefault="00173775" w:rsidP="006817E6"/>
          <w:p w:rsidR="00173775" w:rsidRDefault="00173775" w:rsidP="006817E6">
            <w:r>
              <w:t>Finalize FIP project MOU and communication protocols</w:t>
            </w:r>
          </w:p>
          <w:p w:rsidR="00173775" w:rsidRDefault="00173775" w:rsidP="006817E6"/>
          <w:p w:rsidR="00173775" w:rsidRDefault="00173775" w:rsidP="006817E6">
            <w:r>
              <w:t>(led by WWF with key assistance from Government and private sector partners)</w:t>
            </w:r>
          </w:p>
        </w:tc>
      </w:tr>
      <w:tr w:rsidR="00503E97" w:rsidTr="00503E97">
        <w:tc>
          <w:tcPr>
            <w:tcW w:w="2394" w:type="dxa"/>
          </w:tcPr>
          <w:p w:rsidR="00503E97" w:rsidRDefault="00173775" w:rsidP="006817E6">
            <w:r>
              <w:t>Stakeholders Workshop</w:t>
            </w:r>
          </w:p>
        </w:tc>
        <w:tc>
          <w:tcPr>
            <w:tcW w:w="2394" w:type="dxa"/>
          </w:tcPr>
          <w:p w:rsidR="00503E97" w:rsidRDefault="00173775" w:rsidP="006817E6">
            <w:r>
              <w:t>Late Feb. or early March 2013</w:t>
            </w:r>
          </w:p>
        </w:tc>
        <w:tc>
          <w:tcPr>
            <w:tcW w:w="4860" w:type="dxa"/>
          </w:tcPr>
          <w:p w:rsidR="00173775" w:rsidRDefault="00B16FE1" w:rsidP="00B16FE1">
            <w:pPr>
              <w:ind w:left="720" w:hanging="720"/>
            </w:pPr>
            <w:r>
              <w:t xml:space="preserve">Two </w:t>
            </w:r>
            <w:r w:rsidR="00173775">
              <w:t xml:space="preserve">day workshop </w:t>
            </w:r>
          </w:p>
          <w:p w:rsidR="00173775" w:rsidRDefault="00173775" w:rsidP="006817E6"/>
          <w:p w:rsidR="00503E97" w:rsidRDefault="00173775" w:rsidP="006817E6">
            <w:r>
              <w:t>Likely in Nha Trang</w:t>
            </w:r>
          </w:p>
          <w:p w:rsidR="00173775" w:rsidRDefault="00173775" w:rsidP="006817E6"/>
          <w:p w:rsidR="00173775" w:rsidRDefault="00173775" w:rsidP="006817E6">
            <w:r>
              <w:t>Outcome: FIP Action Plan with agreed-upon priorities, activities, roles, timelines, budgets and outputs</w:t>
            </w:r>
            <w:r w:rsidR="00B16FE1">
              <w:t>; Funding Agreements; Communications protocol</w:t>
            </w:r>
          </w:p>
        </w:tc>
      </w:tr>
    </w:tbl>
    <w:p w:rsidR="00503E97" w:rsidRDefault="00503E97" w:rsidP="006817E6"/>
    <w:p w:rsidR="00503E97" w:rsidRDefault="00503E97" w:rsidP="006817E6"/>
    <w:p w:rsidR="00503E97" w:rsidRDefault="00503E97" w:rsidP="006817E6"/>
    <w:p w:rsidR="00503E97" w:rsidRDefault="00503E97" w:rsidP="006817E6"/>
    <w:p w:rsidR="00503E97" w:rsidRPr="00503E97" w:rsidRDefault="00503E97" w:rsidP="006817E6"/>
    <w:p w:rsidR="00EE1F77" w:rsidRPr="00EE1F77" w:rsidRDefault="00EE1F77" w:rsidP="003F2260">
      <w:pPr>
        <w:pStyle w:val="ListParagraph"/>
        <w:numPr>
          <w:ilvl w:val="0"/>
          <w:numId w:val="2"/>
        </w:numPr>
        <w:rPr>
          <w:b/>
        </w:rPr>
      </w:pPr>
      <w:r w:rsidRPr="00EE1F77">
        <w:rPr>
          <w:b/>
        </w:rPr>
        <w:t>Budget: pre-assessment</w:t>
      </w:r>
    </w:p>
    <w:p w:rsidR="00173775" w:rsidRDefault="00173775" w:rsidP="00173775"/>
    <w:tbl>
      <w:tblPr>
        <w:tblStyle w:val="TableGrid"/>
        <w:tblW w:w="0" w:type="auto"/>
        <w:tblLook w:val="04A0" w:firstRow="1" w:lastRow="0" w:firstColumn="1" w:lastColumn="0" w:noHBand="0" w:noVBand="1"/>
      </w:tblPr>
      <w:tblGrid>
        <w:gridCol w:w="3192"/>
        <w:gridCol w:w="3192"/>
        <w:gridCol w:w="3192"/>
      </w:tblGrid>
      <w:tr w:rsidR="00173775" w:rsidTr="00173775">
        <w:tc>
          <w:tcPr>
            <w:tcW w:w="3192" w:type="dxa"/>
          </w:tcPr>
          <w:p w:rsidR="00173775" w:rsidRPr="00173775" w:rsidRDefault="00173775" w:rsidP="00173775">
            <w:pPr>
              <w:rPr>
                <w:b/>
              </w:rPr>
            </w:pPr>
            <w:r w:rsidRPr="00173775">
              <w:rPr>
                <w:b/>
              </w:rPr>
              <w:t>Component</w:t>
            </w:r>
          </w:p>
        </w:tc>
        <w:tc>
          <w:tcPr>
            <w:tcW w:w="3192" w:type="dxa"/>
          </w:tcPr>
          <w:p w:rsidR="00173775" w:rsidRPr="00173775" w:rsidRDefault="00173775" w:rsidP="00173775">
            <w:pPr>
              <w:rPr>
                <w:b/>
              </w:rPr>
            </w:pPr>
            <w:r w:rsidRPr="00173775">
              <w:rPr>
                <w:b/>
              </w:rPr>
              <w:t>Estimated Cost (USD)</w:t>
            </w:r>
          </w:p>
        </w:tc>
        <w:tc>
          <w:tcPr>
            <w:tcW w:w="3192" w:type="dxa"/>
          </w:tcPr>
          <w:p w:rsidR="00173775" w:rsidRPr="00173775" w:rsidRDefault="00173775" w:rsidP="00173775">
            <w:pPr>
              <w:rPr>
                <w:b/>
              </w:rPr>
            </w:pPr>
            <w:r w:rsidRPr="00173775">
              <w:rPr>
                <w:b/>
              </w:rPr>
              <w:t>Secured?</w:t>
            </w:r>
          </w:p>
        </w:tc>
      </w:tr>
      <w:tr w:rsidR="00173775" w:rsidTr="00173775">
        <w:tc>
          <w:tcPr>
            <w:tcW w:w="3192" w:type="dxa"/>
          </w:tcPr>
          <w:p w:rsidR="00173775" w:rsidRDefault="00173775" w:rsidP="00173775">
            <w:r>
              <w:t>Assessor costs (2 international consultants)</w:t>
            </w:r>
          </w:p>
        </w:tc>
        <w:tc>
          <w:tcPr>
            <w:tcW w:w="3192" w:type="dxa"/>
          </w:tcPr>
          <w:p w:rsidR="00173775" w:rsidRDefault="00173775" w:rsidP="00173775">
            <w:r>
              <w:t>20,000</w:t>
            </w:r>
          </w:p>
        </w:tc>
        <w:tc>
          <w:tcPr>
            <w:tcW w:w="3192" w:type="dxa"/>
          </w:tcPr>
          <w:p w:rsidR="00173775" w:rsidRDefault="00173775" w:rsidP="00173775">
            <w:r>
              <w:t>Likely (MSC/WWF)</w:t>
            </w:r>
          </w:p>
        </w:tc>
      </w:tr>
      <w:tr w:rsidR="00173775" w:rsidTr="00173775">
        <w:tc>
          <w:tcPr>
            <w:tcW w:w="3192" w:type="dxa"/>
          </w:tcPr>
          <w:p w:rsidR="00173775" w:rsidRDefault="00173775" w:rsidP="00173775">
            <w:r>
              <w:t>National consultant (appointed by DECAFIREP)</w:t>
            </w:r>
          </w:p>
        </w:tc>
        <w:tc>
          <w:tcPr>
            <w:tcW w:w="3192" w:type="dxa"/>
          </w:tcPr>
          <w:p w:rsidR="00173775" w:rsidRDefault="00DD3C0B" w:rsidP="00173775">
            <w:r>
              <w:t>5</w:t>
            </w:r>
            <w:r w:rsidR="00173775">
              <w:t>,000</w:t>
            </w:r>
            <w:r>
              <w:t xml:space="preserve"> (In Kind)</w:t>
            </w:r>
          </w:p>
        </w:tc>
        <w:tc>
          <w:tcPr>
            <w:tcW w:w="3192" w:type="dxa"/>
          </w:tcPr>
          <w:p w:rsidR="00173775" w:rsidRDefault="00173775" w:rsidP="00173775">
            <w:r>
              <w:t>Yes (In Kind)</w:t>
            </w:r>
          </w:p>
        </w:tc>
      </w:tr>
      <w:tr w:rsidR="00173775" w:rsidTr="00173775">
        <w:tc>
          <w:tcPr>
            <w:tcW w:w="3192" w:type="dxa"/>
          </w:tcPr>
          <w:p w:rsidR="00173775" w:rsidRDefault="00173775" w:rsidP="00173775">
            <w:r>
              <w:t>WWF consultant (for PA and planning of Stakeholder Workshop)</w:t>
            </w:r>
          </w:p>
        </w:tc>
        <w:tc>
          <w:tcPr>
            <w:tcW w:w="3192" w:type="dxa"/>
          </w:tcPr>
          <w:p w:rsidR="00173775" w:rsidRDefault="00173775" w:rsidP="00173775">
            <w:r>
              <w:t>10,000</w:t>
            </w:r>
          </w:p>
        </w:tc>
        <w:tc>
          <w:tcPr>
            <w:tcW w:w="3192" w:type="dxa"/>
          </w:tcPr>
          <w:p w:rsidR="00173775" w:rsidRDefault="00173775" w:rsidP="00173775">
            <w:r>
              <w:t>Yes (WWF)</w:t>
            </w:r>
          </w:p>
        </w:tc>
      </w:tr>
      <w:tr w:rsidR="00173775" w:rsidTr="00173775">
        <w:tc>
          <w:tcPr>
            <w:tcW w:w="3192" w:type="dxa"/>
          </w:tcPr>
          <w:p w:rsidR="00173775" w:rsidRDefault="00173775" w:rsidP="00173775">
            <w:r>
              <w:t>Translation (consultant)</w:t>
            </w:r>
          </w:p>
        </w:tc>
        <w:tc>
          <w:tcPr>
            <w:tcW w:w="3192" w:type="dxa"/>
          </w:tcPr>
          <w:p w:rsidR="00173775" w:rsidRDefault="00173775" w:rsidP="00173775">
            <w:r>
              <w:t>2,000</w:t>
            </w:r>
          </w:p>
        </w:tc>
        <w:tc>
          <w:tcPr>
            <w:tcW w:w="3192" w:type="dxa"/>
          </w:tcPr>
          <w:p w:rsidR="00173775" w:rsidRDefault="00173775" w:rsidP="00173775">
            <w:r>
              <w:t>Yes (WWF)</w:t>
            </w:r>
          </w:p>
        </w:tc>
      </w:tr>
      <w:tr w:rsidR="00173775" w:rsidTr="00173775">
        <w:tc>
          <w:tcPr>
            <w:tcW w:w="3192" w:type="dxa"/>
          </w:tcPr>
          <w:p w:rsidR="00173775" w:rsidRDefault="00173775" w:rsidP="00173775">
            <w:r>
              <w:t>Stakeholders Workshop (including event, venue and travel support)</w:t>
            </w:r>
          </w:p>
        </w:tc>
        <w:tc>
          <w:tcPr>
            <w:tcW w:w="3192" w:type="dxa"/>
          </w:tcPr>
          <w:p w:rsidR="00173775" w:rsidRDefault="00DD3C0B" w:rsidP="00173775">
            <w:r>
              <w:t>15,000</w:t>
            </w:r>
          </w:p>
        </w:tc>
        <w:tc>
          <w:tcPr>
            <w:tcW w:w="3192" w:type="dxa"/>
          </w:tcPr>
          <w:p w:rsidR="00173775" w:rsidRDefault="00DD3C0B" w:rsidP="00173775">
            <w:r>
              <w:t>Likely (MSC/WWF)</w:t>
            </w:r>
          </w:p>
        </w:tc>
      </w:tr>
    </w:tbl>
    <w:p w:rsidR="006817E6" w:rsidRDefault="006817E6" w:rsidP="00173775"/>
    <w:p w:rsidR="006817E6" w:rsidRDefault="006817E6" w:rsidP="00EE1F77">
      <w:pPr>
        <w:pStyle w:val="ListParagraph"/>
      </w:pPr>
    </w:p>
    <w:p w:rsidR="00EE1F77" w:rsidRDefault="00EE1F77" w:rsidP="003F2260">
      <w:pPr>
        <w:pStyle w:val="ListParagraph"/>
        <w:numPr>
          <w:ilvl w:val="0"/>
          <w:numId w:val="2"/>
        </w:numPr>
        <w:rPr>
          <w:b/>
        </w:rPr>
      </w:pPr>
      <w:r w:rsidRPr="00EE1F77">
        <w:rPr>
          <w:b/>
        </w:rPr>
        <w:t>Budget: Action Plan</w:t>
      </w:r>
    </w:p>
    <w:p w:rsidR="00173775" w:rsidRPr="00DD3C0B" w:rsidRDefault="00173775" w:rsidP="00173775">
      <w:r w:rsidRPr="00DD3C0B">
        <w:t xml:space="preserve">The budget for implementation of the Action Plan will be determined in due course and finalized at the Stakeholders Workshop.  </w:t>
      </w:r>
      <w:r w:rsidR="00DD3C0B" w:rsidRPr="00DD3C0B">
        <w:t xml:space="preserve"> Based on previous experiences it is estimated that the FIP Action Plan implementation</w:t>
      </w:r>
      <w:r w:rsidR="00DD3C0B">
        <w:t>, including local coordination,</w:t>
      </w:r>
      <w:r w:rsidR="00DD3C0B" w:rsidRPr="00DD3C0B">
        <w:t xml:space="preserve"> would cost out at $XXXXX to $XXXXX USD</w:t>
      </w:r>
      <w:r w:rsidR="00DD3C0B">
        <w:t xml:space="preserve"> over 3 years</w:t>
      </w:r>
      <w:r w:rsidR="00DD3C0B" w:rsidRPr="00DD3C0B">
        <w:t xml:space="preserve">.  Thus, </w:t>
      </w:r>
      <w:r w:rsidR="00DD3C0B">
        <w:t>pre-</w:t>
      </w:r>
      <w:r w:rsidR="00DD3C0B" w:rsidRPr="00DD3C0B">
        <w:t xml:space="preserve">determination </w:t>
      </w:r>
      <w:r w:rsidR="00DD3C0B">
        <w:t xml:space="preserve">(up until the workshop) </w:t>
      </w:r>
      <w:r w:rsidR="00DD3C0B" w:rsidRPr="00DD3C0B">
        <w:t xml:space="preserve">of </w:t>
      </w:r>
      <w:r w:rsidR="00DD3C0B">
        <w:t xml:space="preserve">direct </w:t>
      </w:r>
      <w:r w:rsidR="00DD3C0B" w:rsidRPr="00DD3C0B">
        <w:t>funding support</w:t>
      </w:r>
      <w:r w:rsidR="00DD3C0B">
        <w:t xml:space="preserve">, In Kind support and mobilization of funds </w:t>
      </w:r>
      <w:r w:rsidR="00DD3C0B" w:rsidRPr="00DD3C0B">
        <w:t>is critical.</w:t>
      </w:r>
    </w:p>
    <w:p w:rsidR="003F2260" w:rsidRDefault="003F2260" w:rsidP="00EE1F77">
      <w:pPr>
        <w:ind w:left="360"/>
      </w:pPr>
    </w:p>
    <w:sectPr w:rsidR="003F2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6"/>
    <w:multiLevelType w:val="hybridMultilevel"/>
    <w:tmpl w:val="81EA4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D1CC7"/>
    <w:multiLevelType w:val="hybridMultilevel"/>
    <w:tmpl w:val="72AC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A5BBE"/>
    <w:multiLevelType w:val="hybridMultilevel"/>
    <w:tmpl w:val="150827F0"/>
    <w:lvl w:ilvl="0" w:tplc="6CD009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413A3"/>
    <w:multiLevelType w:val="hybridMultilevel"/>
    <w:tmpl w:val="3AD8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463B9"/>
    <w:multiLevelType w:val="hybridMultilevel"/>
    <w:tmpl w:val="4D8EC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95E77"/>
    <w:multiLevelType w:val="hybridMultilevel"/>
    <w:tmpl w:val="7B82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615FA"/>
    <w:multiLevelType w:val="hybridMultilevel"/>
    <w:tmpl w:val="AD0EA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60"/>
    <w:rsid w:val="00150870"/>
    <w:rsid w:val="00173775"/>
    <w:rsid w:val="001A597E"/>
    <w:rsid w:val="002151B1"/>
    <w:rsid w:val="00292D88"/>
    <w:rsid w:val="003F2260"/>
    <w:rsid w:val="004662F8"/>
    <w:rsid w:val="00503E97"/>
    <w:rsid w:val="005A422F"/>
    <w:rsid w:val="006817E6"/>
    <w:rsid w:val="0076474B"/>
    <w:rsid w:val="007C42C4"/>
    <w:rsid w:val="00877E6E"/>
    <w:rsid w:val="009D7E95"/>
    <w:rsid w:val="00A54A96"/>
    <w:rsid w:val="00B100BA"/>
    <w:rsid w:val="00B16FE1"/>
    <w:rsid w:val="00C761EF"/>
    <w:rsid w:val="00D72C15"/>
    <w:rsid w:val="00DD3C0B"/>
    <w:rsid w:val="00EE1F77"/>
    <w:rsid w:val="00F8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260"/>
    <w:pPr>
      <w:ind w:left="720"/>
      <w:contextualSpacing/>
    </w:pPr>
  </w:style>
  <w:style w:type="paragraph" w:styleId="BalloonText">
    <w:name w:val="Balloon Text"/>
    <w:basedOn w:val="Normal"/>
    <w:link w:val="BalloonTextChar"/>
    <w:uiPriority w:val="99"/>
    <w:semiHidden/>
    <w:unhideWhenUsed/>
    <w:rsid w:val="00D72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15"/>
    <w:rPr>
      <w:rFonts w:ascii="Tahoma" w:hAnsi="Tahoma" w:cs="Tahoma"/>
      <w:sz w:val="16"/>
      <w:szCs w:val="16"/>
    </w:rPr>
  </w:style>
  <w:style w:type="table" w:styleId="TableGrid">
    <w:name w:val="Table Grid"/>
    <w:basedOn w:val="TableNormal"/>
    <w:uiPriority w:val="59"/>
    <w:rsid w:val="00503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260"/>
    <w:pPr>
      <w:ind w:left="720"/>
      <w:contextualSpacing/>
    </w:pPr>
  </w:style>
  <w:style w:type="paragraph" w:styleId="BalloonText">
    <w:name w:val="Balloon Text"/>
    <w:basedOn w:val="Normal"/>
    <w:link w:val="BalloonTextChar"/>
    <w:uiPriority w:val="99"/>
    <w:semiHidden/>
    <w:unhideWhenUsed/>
    <w:rsid w:val="00D72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15"/>
    <w:rPr>
      <w:rFonts w:ascii="Tahoma" w:hAnsi="Tahoma" w:cs="Tahoma"/>
      <w:sz w:val="16"/>
      <w:szCs w:val="16"/>
    </w:rPr>
  </w:style>
  <w:style w:type="table" w:styleId="TableGrid">
    <w:name w:val="Table Grid"/>
    <w:basedOn w:val="TableNormal"/>
    <w:uiPriority w:val="59"/>
    <w:rsid w:val="00503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XP Pro Ver 1.9</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Symington</dc:creator>
  <cp:lastModifiedBy>User</cp:lastModifiedBy>
  <cp:revision>2</cp:revision>
  <dcterms:created xsi:type="dcterms:W3CDTF">2013-03-04T16:07:00Z</dcterms:created>
  <dcterms:modified xsi:type="dcterms:W3CDTF">2013-03-04T16:07:00Z</dcterms:modified>
</cp:coreProperties>
</file>